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F3" w:rsidRPr="009C0569" w:rsidRDefault="00306205" w:rsidP="005265D2">
      <w:pPr>
        <w:spacing w:after="0"/>
        <w:jc w:val="center"/>
        <w:rPr>
          <w:rFonts w:ascii="Arial" w:hAnsi="Arial" w:cs="Arial"/>
          <w:b/>
          <w:sz w:val="24"/>
          <w:szCs w:val="24"/>
        </w:rPr>
      </w:pPr>
      <w:r>
        <w:rPr>
          <w:rFonts w:ascii="Arial" w:hAnsi="Arial" w:cs="Arial"/>
          <w:b/>
          <w:sz w:val="24"/>
          <w:szCs w:val="24"/>
        </w:rPr>
        <w:t xml:space="preserve">Ponencia </w:t>
      </w:r>
      <w:r w:rsidR="0062029B" w:rsidRPr="009C0569">
        <w:rPr>
          <w:rFonts w:ascii="Arial" w:hAnsi="Arial" w:cs="Arial"/>
          <w:b/>
          <w:sz w:val="24"/>
          <w:szCs w:val="24"/>
        </w:rPr>
        <w:t>T</w:t>
      </w:r>
      <w:r w:rsidR="006425F1" w:rsidRPr="009C0569">
        <w:rPr>
          <w:rFonts w:ascii="Arial" w:hAnsi="Arial" w:cs="Arial"/>
          <w:b/>
          <w:sz w:val="24"/>
          <w:szCs w:val="24"/>
        </w:rPr>
        <w:t>ransición Gubernamental 2016-2017</w:t>
      </w:r>
    </w:p>
    <w:p w:rsidR="006425F1" w:rsidRPr="009C0569" w:rsidRDefault="006425F1" w:rsidP="006425F1">
      <w:pPr>
        <w:spacing w:after="0"/>
        <w:jc w:val="center"/>
        <w:rPr>
          <w:rFonts w:ascii="Arial" w:hAnsi="Arial" w:cs="Arial"/>
          <w:b/>
          <w:sz w:val="24"/>
          <w:szCs w:val="24"/>
        </w:rPr>
      </w:pPr>
      <w:r w:rsidRPr="009C0569">
        <w:rPr>
          <w:rFonts w:ascii="Arial" w:hAnsi="Arial" w:cs="Arial"/>
          <w:b/>
          <w:sz w:val="24"/>
          <w:szCs w:val="24"/>
        </w:rPr>
        <w:t>Estado Libre Asociado de Puerto Rico</w:t>
      </w:r>
    </w:p>
    <w:p w:rsidR="006425F1" w:rsidRPr="00A22E55" w:rsidRDefault="006425F1" w:rsidP="006425F1">
      <w:pPr>
        <w:spacing w:after="0"/>
        <w:jc w:val="center"/>
        <w:rPr>
          <w:rFonts w:ascii="Arial" w:hAnsi="Arial" w:cs="Arial"/>
          <w:sz w:val="24"/>
          <w:szCs w:val="24"/>
        </w:rPr>
      </w:pPr>
    </w:p>
    <w:p w:rsidR="006425F1" w:rsidRDefault="008E751C" w:rsidP="00595664">
      <w:pPr>
        <w:pStyle w:val="ListParagraph"/>
        <w:numPr>
          <w:ilvl w:val="0"/>
          <w:numId w:val="2"/>
        </w:numPr>
        <w:spacing w:after="0"/>
        <w:jc w:val="both"/>
        <w:rPr>
          <w:rFonts w:ascii="Arial" w:hAnsi="Arial" w:cs="Arial"/>
          <w:b/>
          <w:sz w:val="24"/>
          <w:szCs w:val="24"/>
        </w:rPr>
      </w:pPr>
      <w:r w:rsidRPr="00A22E55">
        <w:rPr>
          <w:rFonts w:ascii="Arial" w:hAnsi="Arial" w:cs="Arial"/>
          <w:b/>
          <w:sz w:val="24"/>
          <w:szCs w:val="24"/>
        </w:rPr>
        <w:t>Introducción</w:t>
      </w:r>
    </w:p>
    <w:p w:rsidR="00332BEB" w:rsidRPr="00A22E55" w:rsidRDefault="00332BEB" w:rsidP="00332BEB">
      <w:pPr>
        <w:pStyle w:val="ListParagraph"/>
        <w:spacing w:after="0"/>
        <w:ind w:left="360"/>
        <w:jc w:val="both"/>
        <w:rPr>
          <w:rFonts w:ascii="Arial" w:hAnsi="Arial" w:cs="Arial"/>
          <w:b/>
          <w:sz w:val="24"/>
          <w:szCs w:val="24"/>
        </w:rPr>
      </w:pPr>
    </w:p>
    <w:p w:rsidR="006425F1" w:rsidRDefault="006425F1" w:rsidP="00595664">
      <w:pPr>
        <w:spacing w:after="0"/>
        <w:ind w:left="360"/>
        <w:jc w:val="both"/>
        <w:rPr>
          <w:rFonts w:ascii="Arial" w:hAnsi="Arial" w:cs="Arial"/>
          <w:sz w:val="24"/>
          <w:szCs w:val="24"/>
        </w:rPr>
      </w:pPr>
      <w:r w:rsidRPr="00A22E55">
        <w:rPr>
          <w:rFonts w:ascii="Arial" w:hAnsi="Arial" w:cs="Arial"/>
          <w:sz w:val="24"/>
          <w:szCs w:val="24"/>
        </w:rPr>
        <w:t>Con</w:t>
      </w:r>
      <w:r w:rsidR="005265D2">
        <w:rPr>
          <w:rFonts w:ascii="Arial" w:hAnsi="Arial" w:cs="Arial"/>
          <w:sz w:val="24"/>
          <w:szCs w:val="24"/>
        </w:rPr>
        <w:t>forme establece la</w:t>
      </w:r>
      <w:r w:rsidRPr="00A22E55">
        <w:rPr>
          <w:rFonts w:ascii="Arial" w:hAnsi="Arial" w:cs="Arial"/>
          <w:sz w:val="24"/>
          <w:szCs w:val="24"/>
        </w:rPr>
        <w:t xml:space="preserve"> Ley Núm. 197</w:t>
      </w:r>
      <w:r w:rsidR="005265D2">
        <w:rPr>
          <w:rFonts w:ascii="Arial" w:hAnsi="Arial" w:cs="Arial"/>
          <w:sz w:val="24"/>
          <w:szCs w:val="24"/>
        </w:rPr>
        <w:t>-</w:t>
      </w:r>
      <w:r w:rsidRPr="00A22E55">
        <w:rPr>
          <w:rFonts w:ascii="Arial" w:hAnsi="Arial" w:cs="Arial"/>
          <w:sz w:val="24"/>
          <w:szCs w:val="24"/>
        </w:rPr>
        <w:t xml:space="preserve">2002, según </w:t>
      </w:r>
      <w:r w:rsidR="008E751C" w:rsidRPr="00A22E55">
        <w:rPr>
          <w:rFonts w:ascii="Arial" w:hAnsi="Arial" w:cs="Arial"/>
          <w:sz w:val="24"/>
          <w:szCs w:val="24"/>
        </w:rPr>
        <w:t>e</w:t>
      </w:r>
      <w:r w:rsidR="00732516">
        <w:rPr>
          <w:rFonts w:ascii="Arial" w:hAnsi="Arial" w:cs="Arial"/>
          <w:sz w:val="24"/>
          <w:szCs w:val="24"/>
        </w:rPr>
        <w:t>n</w:t>
      </w:r>
      <w:r w:rsidR="008E751C" w:rsidRPr="00A22E55">
        <w:rPr>
          <w:rFonts w:ascii="Arial" w:hAnsi="Arial" w:cs="Arial"/>
          <w:sz w:val="24"/>
          <w:szCs w:val="24"/>
        </w:rPr>
        <w:t>mendada</w:t>
      </w:r>
      <w:r w:rsidR="003F7D5D" w:rsidRPr="00A22E55">
        <w:rPr>
          <w:rFonts w:ascii="Arial" w:hAnsi="Arial" w:cs="Arial"/>
          <w:sz w:val="24"/>
          <w:szCs w:val="24"/>
        </w:rPr>
        <w:t xml:space="preserve">, </w:t>
      </w:r>
      <w:r w:rsidRPr="00A22E55">
        <w:rPr>
          <w:rFonts w:ascii="Arial" w:hAnsi="Arial" w:cs="Arial"/>
          <w:sz w:val="24"/>
          <w:szCs w:val="24"/>
        </w:rPr>
        <w:t xml:space="preserve">conocida como la </w:t>
      </w:r>
      <w:r w:rsidR="008E751C" w:rsidRPr="00A22E55">
        <w:rPr>
          <w:rFonts w:ascii="Arial" w:hAnsi="Arial" w:cs="Arial"/>
          <w:sz w:val="24"/>
          <w:szCs w:val="24"/>
        </w:rPr>
        <w:t>“</w:t>
      </w:r>
      <w:r w:rsidRPr="00A22E55">
        <w:rPr>
          <w:rFonts w:ascii="Arial" w:hAnsi="Arial" w:cs="Arial"/>
          <w:sz w:val="24"/>
          <w:szCs w:val="24"/>
        </w:rPr>
        <w:t xml:space="preserve">Ley para Regular el Proceso de la </w:t>
      </w:r>
      <w:r w:rsidR="008E751C" w:rsidRPr="00A22E55">
        <w:rPr>
          <w:rFonts w:ascii="Arial" w:hAnsi="Arial" w:cs="Arial"/>
          <w:sz w:val="24"/>
          <w:szCs w:val="24"/>
        </w:rPr>
        <w:t>Transición</w:t>
      </w:r>
      <w:r w:rsidRPr="00A22E55">
        <w:rPr>
          <w:rFonts w:ascii="Arial" w:hAnsi="Arial" w:cs="Arial"/>
          <w:sz w:val="24"/>
          <w:szCs w:val="24"/>
        </w:rPr>
        <w:t xml:space="preserve"> del Gobierno de Puerto Rico</w:t>
      </w:r>
      <w:r w:rsidR="008E751C" w:rsidRPr="00A22E55">
        <w:rPr>
          <w:rFonts w:ascii="Arial" w:hAnsi="Arial" w:cs="Arial"/>
          <w:sz w:val="24"/>
          <w:szCs w:val="24"/>
        </w:rPr>
        <w:t>”,</w:t>
      </w:r>
      <w:r w:rsidR="003F7D5D" w:rsidRPr="00A22E55">
        <w:rPr>
          <w:rFonts w:ascii="Arial" w:hAnsi="Arial" w:cs="Arial"/>
          <w:sz w:val="24"/>
          <w:szCs w:val="24"/>
        </w:rPr>
        <w:t xml:space="preserve"> </w:t>
      </w:r>
      <w:r w:rsidR="005265D2">
        <w:rPr>
          <w:rFonts w:ascii="Arial" w:hAnsi="Arial" w:cs="Arial"/>
          <w:sz w:val="24"/>
          <w:szCs w:val="24"/>
        </w:rPr>
        <w:t>acompaño</w:t>
      </w:r>
      <w:r w:rsidR="008E751C" w:rsidRPr="00A22E55">
        <w:rPr>
          <w:rFonts w:ascii="Arial" w:hAnsi="Arial" w:cs="Arial"/>
          <w:sz w:val="24"/>
          <w:szCs w:val="24"/>
        </w:rPr>
        <w:t xml:space="preserve"> el</w:t>
      </w:r>
      <w:r w:rsidR="00206703">
        <w:rPr>
          <w:rFonts w:ascii="Arial" w:hAnsi="Arial" w:cs="Arial"/>
          <w:sz w:val="24"/>
          <w:szCs w:val="24"/>
        </w:rPr>
        <w:t xml:space="preserve"> Informe de Transición 2016-2017</w:t>
      </w:r>
      <w:r w:rsidR="008E751C" w:rsidRPr="00A22E55">
        <w:rPr>
          <w:rFonts w:ascii="Arial" w:hAnsi="Arial" w:cs="Arial"/>
          <w:sz w:val="24"/>
          <w:szCs w:val="24"/>
        </w:rPr>
        <w:t>, correspondiente a la Administración de</w:t>
      </w:r>
      <w:r w:rsidR="0062029B">
        <w:rPr>
          <w:rFonts w:ascii="Arial" w:hAnsi="Arial" w:cs="Arial"/>
          <w:sz w:val="24"/>
          <w:szCs w:val="24"/>
        </w:rPr>
        <w:t xml:space="preserve"> </w:t>
      </w:r>
      <w:r w:rsidR="00732516">
        <w:rPr>
          <w:rFonts w:ascii="Arial" w:hAnsi="Arial" w:cs="Arial"/>
          <w:sz w:val="24"/>
          <w:szCs w:val="24"/>
        </w:rPr>
        <w:t>l</w:t>
      </w:r>
      <w:r w:rsidR="0062029B">
        <w:rPr>
          <w:rFonts w:ascii="Arial" w:hAnsi="Arial" w:cs="Arial"/>
          <w:sz w:val="24"/>
          <w:szCs w:val="24"/>
        </w:rPr>
        <w:t>os</w:t>
      </w:r>
      <w:r w:rsidR="008E751C" w:rsidRPr="00A22E55">
        <w:rPr>
          <w:rFonts w:ascii="Arial" w:hAnsi="Arial" w:cs="Arial"/>
          <w:sz w:val="24"/>
          <w:szCs w:val="24"/>
        </w:rPr>
        <w:t xml:space="preserve"> Sistema</w:t>
      </w:r>
      <w:r w:rsidR="0062029B">
        <w:rPr>
          <w:rFonts w:ascii="Arial" w:hAnsi="Arial" w:cs="Arial"/>
          <w:sz w:val="24"/>
          <w:szCs w:val="24"/>
        </w:rPr>
        <w:t>s</w:t>
      </w:r>
      <w:r w:rsidR="008E751C" w:rsidRPr="00A22E55">
        <w:rPr>
          <w:rFonts w:ascii="Arial" w:hAnsi="Arial" w:cs="Arial"/>
          <w:sz w:val="24"/>
          <w:szCs w:val="24"/>
        </w:rPr>
        <w:t xml:space="preserve"> de Retiro</w:t>
      </w:r>
      <w:r w:rsidR="00732516">
        <w:rPr>
          <w:rFonts w:ascii="Arial" w:hAnsi="Arial" w:cs="Arial"/>
          <w:sz w:val="24"/>
          <w:szCs w:val="24"/>
        </w:rPr>
        <w:t xml:space="preserve"> de los Empleados del Gobierno del Estado Libre Asociado de Puerto Rico</w:t>
      </w:r>
      <w:r w:rsidR="0062029B">
        <w:rPr>
          <w:rFonts w:ascii="Arial" w:hAnsi="Arial" w:cs="Arial"/>
          <w:sz w:val="24"/>
          <w:szCs w:val="24"/>
        </w:rPr>
        <w:t xml:space="preserve"> y la Judicatura</w:t>
      </w:r>
      <w:r w:rsidR="005265D2">
        <w:rPr>
          <w:rFonts w:ascii="Arial" w:hAnsi="Arial" w:cs="Arial"/>
          <w:sz w:val="24"/>
          <w:szCs w:val="24"/>
        </w:rPr>
        <w:t xml:space="preserve"> (“ASR”)</w:t>
      </w:r>
      <w:r w:rsidR="008E751C" w:rsidRPr="00A22E55">
        <w:rPr>
          <w:rFonts w:ascii="Arial" w:hAnsi="Arial" w:cs="Arial"/>
          <w:sz w:val="24"/>
          <w:szCs w:val="24"/>
        </w:rPr>
        <w:t>.</w:t>
      </w:r>
    </w:p>
    <w:p w:rsidR="005265D2" w:rsidRDefault="005265D2" w:rsidP="00595664">
      <w:pPr>
        <w:spacing w:after="0"/>
        <w:ind w:left="360"/>
        <w:jc w:val="both"/>
        <w:rPr>
          <w:rFonts w:ascii="Arial" w:hAnsi="Arial" w:cs="Arial"/>
          <w:sz w:val="24"/>
          <w:szCs w:val="24"/>
        </w:rPr>
      </w:pPr>
    </w:p>
    <w:p w:rsidR="00332BEB" w:rsidRDefault="005265D2" w:rsidP="005265D2">
      <w:pPr>
        <w:spacing w:after="0"/>
        <w:ind w:left="360"/>
        <w:jc w:val="both"/>
        <w:rPr>
          <w:rFonts w:ascii="Arial" w:hAnsi="Arial" w:cs="Arial"/>
          <w:sz w:val="24"/>
          <w:szCs w:val="24"/>
        </w:rPr>
      </w:pPr>
      <w:r>
        <w:rPr>
          <w:rFonts w:ascii="Arial" w:hAnsi="Arial" w:cs="Arial"/>
          <w:sz w:val="24"/>
          <w:szCs w:val="24"/>
        </w:rPr>
        <w:t>Como es de conocimiento general, los sistemas de retiro de Puerto Rico están descapitalizados. En el caso de la ASR, el informe actuarial más reciente que corresponde al año 2015, establece que cuenta con $</w:t>
      </w:r>
      <w:r w:rsidR="00ED316F">
        <w:rPr>
          <w:rFonts w:ascii="Arial" w:hAnsi="Arial" w:cs="Arial"/>
          <w:sz w:val="24"/>
          <w:szCs w:val="24"/>
        </w:rPr>
        <w:t>2,780,077,000</w:t>
      </w:r>
      <w:r>
        <w:rPr>
          <w:rFonts w:ascii="Arial" w:hAnsi="Arial" w:cs="Arial"/>
          <w:sz w:val="24"/>
          <w:szCs w:val="24"/>
        </w:rPr>
        <w:t xml:space="preserve"> en activos y una responsabilidad ante sus pensionados de $</w:t>
      </w:r>
      <w:r w:rsidR="00143010">
        <w:rPr>
          <w:rFonts w:ascii="Arial" w:hAnsi="Arial" w:cs="Arial"/>
          <w:sz w:val="24"/>
          <w:szCs w:val="24"/>
        </w:rPr>
        <w:t>33,247,795,000</w:t>
      </w:r>
      <w:r>
        <w:rPr>
          <w:rFonts w:ascii="Arial" w:hAnsi="Arial" w:cs="Arial"/>
          <w:sz w:val="24"/>
          <w:szCs w:val="24"/>
        </w:rPr>
        <w:t xml:space="preserve">. </w:t>
      </w:r>
    </w:p>
    <w:p w:rsidR="005265D2" w:rsidRDefault="005265D2" w:rsidP="005265D2">
      <w:pPr>
        <w:spacing w:after="0"/>
        <w:ind w:left="360"/>
        <w:jc w:val="both"/>
        <w:rPr>
          <w:rFonts w:ascii="Arial" w:hAnsi="Arial" w:cs="Arial"/>
          <w:sz w:val="24"/>
          <w:szCs w:val="24"/>
        </w:rPr>
      </w:pPr>
    </w:p>
    <w:p w:rsidR="005265D2" w:rsidRDefault="005265D2" w:rsidP="005265D2">
      <w:pPr>
        <w:spacing w:after="0"/>
        <w:ind w:left="360"/>
        <w:jc w:val="both"/>
        <w:rPr>
          <w:rFonts w:ascii="Arial" w:hAnsi="Arial" w:cs="Arial"/>
          <w:sz w:val="24"/>
          <w:szCs w:val="24"/>
        </w:rPr>
      </w:pPr>
      <w:r>
        <w:rPr>
          <w:rFonts w:ascii="Arial" w:hAnsi="Arial" w:cs="Arial"/>
          <w:sz w:val="24"/>
          <w:szCs w:val="24"/>
        </w:rPr>
        <w:t xml:space="preserve">Las causas de estos problemas son muchas. Desde su comienzo, la ASR recibió una asignación legislativa de fondos inferior a las necesidades actuariales que tenía el Sistema. En la medida en la que el Sistema maduraba, contaba con una mayor cantidad de empleados que de pensionados, lo cual permitió el crecimiento inadecuado del fondo. Sumado a inversiones que no produjeron los resultados esperados, el Sistema no estaba preparado para atender su situación actual, en la cual tiene más pensionados que participantes activos por primera vez en su historia. </w:t>
      </w:r>
    </w:p>
    <w:p w:rsidR="005265D2" w:rsidRDefault="005265D2" w:rsidP="005265D2">
      <w:pPr>
        <w:spacing w:after="0"/>
        <w:ind w:left="360"/>
        <w:jc w:val="both"/>
        <w:rPr>
          <w:rFonts w:ascii="Arial" w:hAnsi="Arial" w:cs="Arial"/>
          <w:sz w:val="24"/>
          <w:szCs w:val="24"/>
        </w:rPr>
      </w:pPr>
    </w:p>
    <w:p w:rsidR="005265D2" w:rsidRDefault="005265D2" w:rsidP="005265D2">
      <w:pPr>
        <w:spacing w:after="0"/>
        <w:ind w:left="360"/>
        <w:jc w:val="both"/>
        <w:rPr>
          <w:rFonts w:ascii="Arial" w:hAnsi="Arial" w:cs="Arial"/>
          <w:sz w:val="24"/>
          <w:szCs w:val="24"/>
        </w:rPr>
      </w:pPr>
      <w:r>
        <w:rPr>
          <w:rFonts w:ascii="Arial" w:hAnsi="Arial" w:cs="Arial"/>
          <w:sz w:val="24"/>
          <w:szCs w:val="24"/>
        </w:rPr>
        <w:t>Este desbalance impide el crecimient</w:t>
      </w:r>
      <w:r w:rsidR="009C0569">
        <w:rPr>
          <w:rFonts w:ascii="Arial" w:hAnsi="Arial" w:cs="Arial"/>
          <w:sz w:val="24"/>
          <w:szCs w:val="24"/>
        </w:rPr>
        <w:t>o de la cartera de inversiones y provoca un déficit entre los ingresos de las cont</w:t>
      </w:r>
      <w:r w:rsidR="00ED316F">
        <w:rPr>
          <w:rFonts w:ascii="Arial" w:hAnsi="Arial" w:cs="Arial"/>
          <w:sz w:val="24"/>
          <w:szCs w:val="24"/>
        </w:rPr>
        <w:t>r</w:t>
      </w:r>
      <w:r w:rsidR="009C0569">
        <w:rPr>
          <w:rFonts w:ascii="Arial" w:hAnsi="Arial" w:cs="Arial"/>
          <w:sz w:val="24"/>
          <w:szCs w:val="24"/>
        </w:rPr>
        <w:t xml:space="preserve">ibuciones individuales y patronales y los pagos de pensiones. </w:t>
      </w:r>
      <w:r w:rsidR="00CA27EF">
        <w:rPr>
          <w:rFonts w:ascii="Arial" w:hAnsi="Arial" w:cs="Arial"/>
          <w:sz w:val="24"/>
          <w:szCs w:val="24"/>
        </w:rPr>
        <w:t>Este déficit ascendió a $684,000,000.00</w:t>
      </w:r>
      <w:r w:rsidR="009C0569">
        <w:rPr>
          <w:rFonts w:ascii="Arial" w:hAnsi="Arial" w:cs="Arial"/>
          <w:sz w:val="24"/>
          <w:szCs w:val="24"/>
        </w:rPr>
        <w:t xml:space="preserve"> en el AF 2015-16. </w:t>
      </w:r>
    </w:p>
    <w:p w:rsidR="009C0569" w:rsidRDefault="009C0569" w:rsidP="009C0569">
      <w:pPr>
        <w:spacing w:after="0"/>
        <w:jc w:val="both"/>
        <w:rPr>
          <w:rFonts w:ascii="Arial" w:hAnsi="Arial" w:cs="Arial"/>
          <w:sz w:val="24"/>
          <w:szCs w:val="24"/>
        </w:rPr>
      </w:pPr>
    </w:p>
    <w:p w:rsidR="009C0569" w:rsidRPr="009C0569" w:rsidRDefault="009C0569" w:rsidP="009C0569">
      <w:pPr>
        <w:pStyle w:val="ListParagraph"/>
        <w:numPr>
          <w:ilvl w:val="0"/>
          <w:numId w:val="2"/>
        </w:numPr>
        <w:spacing w:after="0"/>
        <w:jc w:val="both"/>
        <w:rPr>
          <w:rFonts w:ascii="Arial" w:hAnsi="Arial" w:cs="Arial"/>
          <w:b/>
          <w:sz w:val="24"/>
          <w:szCs w:val="24"/>
        </w:rPr>
      </w:pPr>
      <w:r w:rsidRPr="009C0569">
        <w:rPr>
          <w:rFonts w:ascii="Arial" w:hAnsi="Arial" w:cs="Arial"/>
          <w:b/>
          <w:sz w:val="24"/>
          <w:szCs w:val="24"/>
        </w:rPr>
        <w:t xml:space="preserve">Logros </w:t>
      </w:r>
    </w:p>
    <w:p w:rsidR="005265D2" w:rsidRDefault="005265D2" w:rsidP="005265D2">
      <w:pPr>
        <w:spacing w:after="0"/>
        <w:ind w:left="360"/>
        <w:jc w:val="both"/>
        <w:rPr>
          <w:rFonts w:ascii="Arial" w:hAnsi="Arial" w:cs="Arial"/>
          <w:sz w:val="24"/>
          <w:szCs w:val="24"/>
        </w:rPr>
      </w:pPr>
    </w:p>
    <w:p w:rsidR="009C0569" w:rsidRDefault="009C0569" w:rsidP="009C0569">
      <w:pPr>
        <w:spacing w:after="0"/>
        <w:ind w:left="360"/>
        <w:jc w:val="both"/>
        <w:rPr>
          <w:rFonts w:ascii="Arial" w:hAnsi="Arial" w:cs="Arial"/>
          <w:sz w:val="24"/>
          <w:szCs w:val="24"/>
        </w:rPr>
      </w:pPr>
      <w:r>
        <w:rPr>
          <w:rFonts w:ascii="Arial" w:hAnsi="Arial" w:cs="Arial"/>
          <w:sz w:val="24"/>
          <w:szCs w:val="24"/>
        </w:rPr>
        <w:t>Nuestra agencia tiene varios departamentos, cuyos logros detallamos a continuación y en orden de importancia operacional:</w:t>
      </w:r>
    </w:p>
    <w:p w:rsidR="009C0569" w:rsidRDefault="009C0569" w:rsidP="005265D2">
      <w:pPr>
        <w:spacing w:after="0"/>
        <w:ind w:left="360"/>
        <w:jc w:val="both"/>
        <w:rPr>
          <w:rFonts w:ascii="Arial" w:hAnsi="Arial" w:cs="Arial"/>
          <w:sz w:val="24"/>
          <w:szCs w:val="24"/>
        </w:rPr>
      </w:pPr>
    </w:p>
    <w:p w:rsidR="00C77A2F" w:rsidRPr="006D1479" w:rsidRDefault="009C0569" w:rsidP="009C0569">
      <w:pPr>
        <w:pStyle w:val="ListParagraph"/>
        <w:numPr>
          <w:ilvl w:val="0"/>
          <w:numId w:val="40"/>
        </w:numPr>
        <w:spacing w:after="0"/>
        <w:jc w:val="both"/>
        <w:rPr>
          <w:rFonts w:ascii="Arial" w:hAnsi="Arial" w:cs="Arial"/>
          <w:b/>
          <w:sz w:val="24"/>
          <w:szCs w:val="24"/>
        </w:rPr>
      </w:pPr>
      <w:r w:rsidRPr="006D1479">
        <w:rPr>
          <w:rFonts w:ascii="Arial" w:hAnsi="Arial" w:cs="Arial"/>
          <w:b/>
          <w:sz w:val="24"/>
          <w:szCs w:val="24"/>
        </w:rPr>
        <w:t xml:space="preserve">Área de Inversiones </w:t>
      </w:r>
    </w:p>
    <w:p w:rsidR="00C77A2F" w:rsidRDefault="00C77A2F" w:rsidP="00C77A2F">
      <w:pPr>
        <w:pStyle w:val="ListParagraph"/>
        <w:numPr>
          <w:ilvl w:val="1"/>
          <w:numId w:val="40"/>
        </w:numPr>
        <w:spacing w:after="0"/>
        <w:jc w:val="both"/>
        <w:rPr>
          <w:rFonts w:ascii="Arial" w:hAnsi="Arial" w:cs="Arial"/>
          <w:sz w:val="24"/>
          <w:szCs w:val="24"/>
        </w:rPr>
      </w:pPr>
      <w:r>
        <w:rPr>
          <w:rFonts w:ascii="Arial" w:hAnsi="Arial" w:cs="Arial"/>
          <w:sz w:val="24"/>
          <w:szCs w:val="24"/>
        </w:rPr>
        <w:t>C</w:t>
      </w:r>
      <w:r w:rsidR="009C0569">
        <w:rPr>
          <w:rFonts w:ascii="Arial" w:hAnsi="Arial" w:cs="Arial"/>
          <w:sz w:val="24"/>
          <w:szCs w:val="24"/>
        </w:rPr>
        <w:t>reamos por primera vez en la historia de la ASR un programa de manejadores locales dirigido a permitir que compañías</w:t>
      </w:r>
      <w:r>
        <w:rPr>
          <w:rFonts w:ascii="Arial" w:hAnsi="Arial" w:cs="Arial"/>
          <w:sz w:val="24"/>
          <w:szCs w:val="24"/>
        </w:rPr>
        <w:t xml:space="preserve"> emergentes</w:t>
      </w:r>
      <w:r w:rsidR="009C0569">
        <w:rPr>
          <w:rFonts w:ascii="Arial" w:hAnsi="Arial" w:cs="Arial"/>
          <w:sz w:val="24"/>
          <w:szCs w:val="24"/>
        </w:rPr>
        <w:t xml:space="preserve"> de inversión con sede en Puerto Rico puedan </w:t>
      </w:r>
      <w:r>
        <w:rPr>
          <w:rFonts w:ascii="Arial" w:hAnsi="Arial" w:cs="Arial"/>
          <w:sz w:val="24"/>
          <w:szCs w:val="24"/>
        </w:rPr>
        <w:t xml:space="preserve">manejar dinero de la cartera de la ASR. Este programa se encuentra en proceso de efectuar sus primeras inversiones las cuales serán anunciadas públicamente en las próximas semanas. </w:t>
      </w:r>
    </w:p>
    <w:p w:rsidR="009C0569" w:rsidRDefault="00C77A2F" w:rsidP="00C77A2F">
      <w:pPr>
        <w:pStyle w:val="ListParagraph"/>
        <w:numPr>
          <w:ilvl w:val="1"/>
          <w:numId w:val="40"/>
        </w:numPr>
        <w:spacing w:after="0"/>
        <w:jc w:val="both"/>
        <w:rPr>
          <w:rFonts w:ascii="Arial" w:hAnsi="Arial" w:cs="Arial"/>
          <w:sz w:val="24"/>
          <w:szCs w:val="24"/>
        </w:rPr>
      </w:pPr>
      <w:r>
        <w:rPr>
          <w:rFonts w:ascii="Arial" w:hAnsi="Arial" w:cs="Arial"/>
          <w:sz w:val="24"/>
          <w:szCs w:val="24"/>
        </w:rPr>
        <w:lastRenderedPageBreak/>
        <w:t xml:space="preserve">Por primera vez desde el 2008, </w:t>
      </w:r>
      <w:r w:rsidR="00ED316F">
        <w:rPr>
          <w:rFonts w:ascii="Arial" w:hAnsi="Arial" w:cs="Arial"/>
          <w:sz w:val="24"/>
          <w:szCs w:val="24"/>
        </w:rPr>
        <w:t>elegimos</w:t>
      </w:r>
      <w:r>
        <w:rPr>
          <w:rFonts w:ascii="Arial" w:hAnsi="Arial" w:cs="Arial"/>
          <w:sz w:val="24"/>
          <w:szCs w:val="24"/>
        </w:rPr>
        <w:t xml:space="preserve"> un nuevo consultor de inversiones, </w:t>
      </w:r>
      <w:proofErr w:type="spellStart"/>
      <w:r>
        <w:rPr>
          <w:rFonts w:ascii="Arial" w:hAnsi="Arial" w:cs="Arial"/>
          <w:sz w:val="24"/>
          <w:szCs w:val="24"/>
        </w:rPr>
        <w:t>Gavion</w:t>
      </w:r>
      <w:proofErr w:type="spellEnd"/>
      <w:r>
        <w:rPr>
          <w:rFonts w:ascii="Arial" w:hAnsi="Arial" w:cs="Arial"/>
          <w:sz w:val="24"/>
          <w:szCs w:val="24"/>
        </w:rPr>
        <w:t xml:space="preserve">, LLC. </w:t>
      </w:r>
    </w:p>
    <w:p w:rsidR="00C77A2F" w:rsidRDefault="00C77A2F" w:rsidP="00C77A2F">
      <w:pPr>
        <w:pStyle w:val="ListParagraph"/>
        <w:numPr>
          <w:ilvl w:val="1"/>
          <w:numId w:val="40"/>
        </w:numPr>
        <w:spacing w:after="0"/>
        <w:jc w:val="both"/>
        <w:rPr>
          <w:rFonts w:ascii="Arial" w:hAnsi="Arial" w:cs="Arial"/>
          <w:sz w:val="24"/>
          <w:szCs w:val="24"/>
        </w:rPr>
      </w:pPr>
      <w:r>
        <w:rPr>
          <w:rFonts w:ascii="Arial" w:hAnsi="Arial" w:cs="Arial"/>
          <w:sz w:val="24"/>
          <w:szCs w:val="24"/>
        </w:rPr>
        <w:t xml:space="preserve">Completamos inversiones importantes en fondos de inversión privados como </w:t>
      </w:r>
      <w:proofErr w:type="spellStart"/>
      <w:r>
        <w:rPr>
          <w:rFonts w:ascii="Arial" w:hAnsi="Arial" w:cs="Arial"/>
          <w:sz w:val="24"/>
          <w:szCs w:val="24"/>
        </w:rPr>
        <w:t>Medley</w:t>
      </w:r>
      <w:proofErr w:type="spellEnd"/>
      <w:r>
        <w:rPr>
          <w:rFonts w:ascii="Arial" w:hAnsi="Arial" w:cs="Arial"/>
          <w:sz w:val="24"/>
          <w:szCs w:val="24"/>
        </w:rPr>
        <w:t xml:space="preserve"> </w:t>
      </w:r>
      <w:r w:rsidR="00ED316F">
        <w:rPr>
          <w:rFonts w:ascii="Arial" w:hAnsi="Arial" w:cs="Arial"/>
          <w:sz w:val="24"/>
          <w:szCs w:val="24"/>
        </w:rPr>
        <w:t>$15 millones</w:t>
      </w:r>
      <w:r>
        <w:rPr>
          <w:rFonts w:ascii="Arial" w:hAnsi="Arial" w:cs="Arial"/>
          <w:sz w:val="24"/>
          <w:szCs w:val="24"/>
        </w:rPr>
        <w:t xml:space="preserve">, GPB </w:t>
      </w:r>
      <w:r w:rsidR="00ED316F">
        <w:rPr>
          <w:rFonts w:ascii="Arial" w:hAnsi="Arial" w:cs="Arial"/>
          <w:sz w:val="24"/>
          <w:szCs w:val="24"/>
        </w:rPr>
        <w:t>$10 millones</w:t>
      </w:r>
      <w:r>
        <w:rPr>
          <w:rFonts w:ascii="Arial" w:hAnsi="Arial" w:cs="Arial"/>
          <w:sz w:val="24"/>
          <w:szCs w:val="24"/>
        </w:rPr>
        <w:t xml:space="preserve">, Terra </w:t>
      </w:r>
      <w:proofErr w:type="spellStart"/>
      <w:r>
        <w:rPr>
          <w:rFonts w:ascii="Arial" w:hAnsi="Arial" w:cs="Arial"/>
          <w:sz w:val="24"/>
          <w:szCs w:val="24"/>
        </w:rPr>
        <w:t>Cap</w:t>
      </w:r>
      <w:proofErr w:type="spellEnd"/>
      <w:r>
        <w:rPr>
          <w:rFonts w:ascii="Arial" w:hAnsi="Arial" w:cs="Arial"/>
          <w:sz w:val="24"/>
          <w:szCs w:val="24"/>
        </w:rPr>
        <w:t xml:space="preserve"> </w:t>
      </w:r>
      <w:r w:rsidR="00A06654">
        <w:rPr>
          <w:rFonts w:ascii="Arial" w:hAnsi="Arial" w:cs="Arial"/>
          <w:sz w:val="24"/>
          <w:szCs w:val="24"/>
        </w:rPr>
        <w:t>$7.5 millones</w:t>
      </w:r>
      <w:r>
        <w:rPr>
          <w:rFonts w:ascii="Arial" w:hAnsi="Arial" w:cs="Arial"/>
          <w:sz w:val="24"/>
          <w:szCs w:val="24"/>
        </w:rPr>
        <w:t xml:space="preserve"> y </w:t>
      </w:r>
      <w:proofErr w:type="spellStart"/>
      <w:r>
        <w:rPr>
          <w:rFonts w:ascii="Arial" w:hAnsi="Arial" w:cs="Arial"/>
          <w:sz w:val="24"/>
          <w:szCs w:val="24"/>
        </w:rPr>
        <w:t>Courage</w:t>
      </w:r>
      <w:proofErr w:type="spellEnd"/>
      <w:r>
        <w:rPr>
          <w:rFonts w:ascii="Arial" w:hAnsi="Arial" w:cs="Arial"/>
          <w:sz w:val="24"/>
          <w:szCs w:val="24"/>
        </w:rPr>
        <w:t xml:space="preserve"> Capital </w:t>
      </w:r>
      <w:r w:rsidR="00A06654">
        <w:rPr>
          <w:rFonts w:ascii="Arial" w:hAnsi="Arial" w:cs="Arial"/>
          <w:sz w:val="24"/>
          <w:szCs w:val="24"/>
        </w:rPr>
        <w:t>$5 millones</w:t>
      </w:r>
      <w:r>
        <w:rPr>
          <w:rFonts w:ascii="Arial" w:hAnsi="Arial" w:cs="Arial"/>
          <w:sz w:val="24"/>
          <w:szCs w:val="24"/>
        </w:rPr>
        <w:t xml:space="preserve">. Estas inversiones nos permiten ampliar la </w:t>
      </w:r>
      <w:r w:rsidR="006D1479">
        <w:rPr>
          <w:rFonts w:ascii="Arial" w:hAnsi="Arial" w:cs="Arial"/>
          <w:sz w:val="24"/>
          <w:szCs w:val="24"/>
        </w:rPr>
        <w:t xml:space="preserve">diversificación de la cartera de inversiones privadas de la ASR. El objetivo de estas inversiones con un horizonte más a largo plazo es asegurar que nuestros participantes sepan que la vida útil de la ASR trasciende los próximos años. </w:t>
      </w:r>
    </w:p>
    <w:p w:rsidR="00B62B15" w:rsidRDefault="00B62B15" w:rsidP="00C77A2F">
      <w:pPr>
        <w:pStyle w:val="ListParagraph"/>
        <w:numPr>
          <w:ilvl w:val="1"/>
          <w:numId w:val="40"/>
        </w:numPr>
        <w:spacing w:after="0"/>
        <w:jc w:val="both"/>
        <w:rPr>
          <w:rFonts w:ascii="Arial" w:hAnsi="Arial" w:cs="Arial"/>
          <w:sz w:val="24"/>
          <w:szCs w:val="24"/>
        </w:rPr>
      </w:pPr>
      <w:r>
        <w:rPr>
          <w:rFonts w:ascii="Arial" w:hAnsi="Arial" w:cs="Arial"/>
          <w:sz w:val="24"/>
          <w:szCs w:val="24"/>
        </w:rPr>
        <w:t xml:space="preserve">El costo de manejadores de inversiones se redujo en un 50%. </w:t>
      </w:r>
    </w:p>
    <w:p w:rsidR="006D1479" w:rsidRDefault="006D1479" w:rsidP="006D1479">
      <w:pPr>
        <w:pStyle w:val="ListParagraph"/>
        <w:spacing w:after="0"/>
        <w:ind w:left="1800"/>
        <w:jc w:val="both"/>
        <w:rPr>
          <w:rFonts w:ascii="Arial" w:hAnsi="Arial" w:cs="Arial"/>
          <w:sz w:val="24"/>
          <w:szCs w:val="24"/>
        </w:rPr>
      </w:pPr>
    </w:p>
    <w:p w:rsidR="006D1479" w:rsidRDefault="006D1479" w:rsidP="006D1479">
      <w:pPr>
        <w:pStyle w:val="ListParagraph"/>
        <w:numPr>
          <w:ilvl w:val="0"/>
          <w:numId w:val="40"/>
        </w:numPr>
        <w:spacing w:after="0"/>
        <w:jc w:val="both"/>
        <w:rPr>
          <w:rFonts w:ascii="Arial" w:hAnsi="Arial" w:cs="Arial"/>
          <w:b/>
          <w:sz w:val="24"/>
          <w:szCs w:val="24"/>
        </w:rPr>
      </w:pPr>
      <w:r w:rsidRPr="006D1479">
        <w:rPr>
          <w:rFonts w:ascii="Arial" w:hAnsi="Arial" w:cs="Arial"/>
          <w:b/>
          <w:sz w:val="24"/>
          <w:szCs w:val="24"/>
        </w:rPr>
        <w:t>Área de Préstamos</w:t>
      </w:r>
    </w:p>
    <w:p w:rsidR="00165EB8" w:rsidRPr="00165EB8" w:rsidRDefault="00165EB8" w:rsidP="006D1479">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Adjudicamos a un consorcio compuesto por Triple S Vida y Willis </w:t>
      </w:r>
      <w:proofErr w:type="spellStart"/>
      <w:r>
        <w:rPr>
          <w:rFonts w:ascii="Arial" w:hAnsi="Arial" w:cs="Arial"/>
          <w:sz w:val="24"/>
          <w:szCs w:val="24"/>
        </w:rPr>
        <w:t>Towers</w:t>
      </w:r>
      <w:proofErr w:type="spellEnd"/>
      <w:r>
        <w:rPr>
          <w:rFonts w:ascii="Arial" w:hAnsi="Arial" w:cs="Arial"/>
          <w:sz w:val="24"/>
          <w:szCs w:val="24"/>
        </w:rPr>
        <w:t xml:space="preserve"> Watson el manejo del programa de seguros de vida de la ASR. Este proyecto reduce la exposición de riesgo de la ASR en las reservas de sus programas de préstamos, lo cual generará ahorros millonarios a largo plazo. </w:t>
      </w:r>
    </w:p>
    <w:p w:rsidR="006D1479" w:rsidRPr="006D1479" w:rsidRDefault="006D1479" w:rsidP="006D1479">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Como parte de las medidas operacionales necesarias para la continuidad de este programa, por primera vez en la historia de la ASR se han confiscado aportaciones de empleados que tengan préstamos morosos. Además, hemos reducido en un 50% la morosidad de la cartera de préstamos personales mediante la activación de descuentos de nómina en los casos morosos. </w:t>
      </w:r>
    </w:p>
    <w:p w:rsidR="006D1479" w:rsidRPr="006D1479" w:rsidRDefault="006D1479" w:rsidP="006D1479">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Comenzamos una moratoria en el Programa de Préstamos Hipotecarios y el programa de Préstamos de Viajes Culturales. Aunque en sus inicios estos programas tuvieron fines legítimos de política pública, en tiempos recientes habían estado sujetos a mal uso y no representan un uso eficiente de los recursos de la ASR. </w:t>
      </w:r>
    </w:p>
    <w:p w:rsidR="006D1479" w:rsidRPr="006D1479" w:rsidRDefault="006D1479" w:rsidP="006D1479">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Por primera vez, establecimos un programa de cobro de deudas que cumpla con el estado de derecho en dicha materia. A su vez, cesamos los esfuerzos de cobro en deudas de 15 años o más, ya que por omisión del pasado, estamos imposibilitados de cobrar las mismas. </w:t>
      </w:r>
    </w:p>
    <w:p w:rsidR="006D1479" w:rsidRPr="006D1479" w:rsidRDefault="006D1479" w:rsidP="006D1479">
      <w:pPr>
        <w:pStyle w:val="ListParagraph"/>
        <w:spacing w:after="0"/>
        <w:ind w:left="1800"/>
        <w:jc w:val="both"/>
        <w:rPr>
          <w:rFonts w:ascii="Arial" w:hAnsi="Arial" w:cs="Arial"/>
          <w:b/>
          <w:sz w:val="24"/>
          <w:szCs w:val="24"/>
        </w:rPr>
      </w:pPr>
    </w:p>
    <w:p w:rsidR="006D1479" w:rsidRDefault="006D1479" w:rsidP="006D1479">
      <w:pPr>
        <w:pStyle w:val="ListParagraph"/>
        <w:numPr>
          <w:ilvl w:val="0"/>
          <w:numId w:val="40"/>
        </w:numPr>
        <w:spacing w:after="0"/>
        <w:jc w:val="both"/>
        <w:rPr>
          <w:rFonts w:ascii="Arial" w:hAnsi="Arial" w:cs="Arial"/>
          <w:b/>
          <w:sz w:val="24"/>
          <w:szCs w:val="24"/>
        </w:rPr>
      </w:pPr>
      <w:r>
        <w:rPr>
          <w:rFonts w:ascii="Arial" w:hAnsi="Arial" w:cs="Arial"/>
          <w:b/>
          <w:sz w:val="24"/>
          <w:szCs w:val="24"/>
        </w:rPr>
        <w:t xml:space="preserve">Área de </w:t>
      </w:r>
      <w:proofErr w:type="spellStart"/>
      <w:r>
        <w:rPr>
          <w:rFonts w:ascii="Arial" w:hAnsi="Arial" w:cs="Arial"/>
          <w:b/>
          <w:sz w:val="24"/>
          <w:szCs w:val="24"/>
        </w:rPr>
        <w:t>Contraloria</w:t>
      </w:r>
      <w:proofErr w:type="spellEnd"/>
      <w:r w:rsidR="00B62B15">
        <w:rPr>
          <w:rFonts w:ascii="Arial" w:hAnsi="Arial" w:cs="Arial"/>
          <w:b/>
          <w:sz w:val="24"/>
          <w:szCs w:val="24"/>
        </w:rPr>
        <w:t xml:space="preserve"> y Recursos Humanos</w:t>
      </w:r>
    </w:p>
    <w:p w:rsidR="00B62B15" w:rsidRPr="00B62B15" w:rsidRDefault="00B62B15"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Del presupuesto aprobado para el AF 2015-16, el</w:t>
      </w:r>
      <w:r w:rsidR="00143010">
        <w:rPr>
          <w:rFonts w:ascii="Arial" w:hAnsi="Arial" w:cs="Arial"/>
          <w:sz w:val="24"/>
          <w:szCs w:val="24"/>
        </w:rPr>
        <w:t xml:space="preserve"> gasto real de la agencia fue $</w:t>
      </w:r>
      <w:r w:rsidR="004F311E">
        <w:rPr>
          <w:rFonts w:ascii="Arial" w:hAnsi="Arial" w:cs="Arial"/>
          <w:sz w:val="24"/>
          <w:szCs w:val="24"/>
        </w:rPr>
        <w:t>26,935,068, 11</w:t>
      </w:r>
      <w:r>
        <w:rPr>
          <w:rFonts w:ascii="Arial" w:hAnsi="Arial" w:cs="Arial"/>
          <w:sz w:val="24"/>
          <w:szCs w:val="24"/>
        </w:rPr>
        <w:t xml:space="preserve">% menos que el año anterior. </w:t>
      </w:r>
    </w:p>
    <w:p w:rsidR="00B62B15" w:rsidRPr="00165EB8" w:rsidRDefault="00B62B15"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Mediante la Ley 211-2015, se redujo la cant</w:t>
      </w:r>
      <w:r w:rsidR="00D56A2D">
        <w:rPr>
          <w:rFonts w:ascii="Arial" w:hAnsi="Arial" w:cs="Arial"/>
          <w:sz w:val="24"/>
          <w:szCs w:val="24"/>
        </w:rPr>
        <w:t>idad de empleados de la ASR de 380 a 316</w:t>
      </w:r>
      <w:r>
        <w:rPr>
          <w:rFonts w:ascii="Arial" w:hAnsi="Arial" w:cs="Arial"/>
          <w:sz w:val="24"/>
          <w:szCs w:val="24"/>
        </w:rPr>
        <w:t xml:space="preserve">. </w:t>
      </w:r>
    </w:p>
    <w:p w:rsidR="00165EB8" w:rsidRPr="00165EB8" w:rsidRDefault="00165EB8"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Implementamos exitosamente el GASB 68. </w:t>
      </w:r>
    </w:p>
    <w:p w:rsidR="00165EB8" w:rsidRPr="00165EB8" w:rsidRDefault="00165EB8" w:rsidP="00165EB8">
      <w:pPr>
        <w:spacing w:after="0"/>
        <w:jc w:val="both"/>
        <w:rPr>
          <w:rFonts w:ascii="Arial" w:hAnsi="Arial" w:cs="Arial"/>
          <w:b/>
          <w:sz w:val="24"/>
          <w:szCs w:val="24"/>
        </w:rPr>
      </w:pPr>
    </w:p>
    <w:p w:rsidR="00B62B15" w:rsidRDefault="00B62B15" w:rsidP="00B62B15">
      <w:pPr>
        <w:pStyle w:val="ListParagraph"/>
        <w:spacing w:after="0"/>
        <w:ind w:left="1800"/>
        <w:jc w:val="both"/>
        <w:rPr>
          <w:rFonts w:ascii="Arial" w:hAnsi="Arial" w:cs="Arial"/>
          <w:b/>
          <w:sz w:val="24"/>
          <w:szCs w:val="24"/>
        </w:rPr>
      </w:pPr>
    </w:p>
    <w:p w:rsidR="00B62B15" w:rsidRDefault="00B62B15" w:rsidP="00B62B15">
      <w:pPr>
        <w:pStyle w:val="ListParagraph"/>
        <w:numPr>
          <w:ilvl w:val="0"/>
          <w:numId w:val="40"/>
        </w:numPr>
        <w:spacing w:after="0"/>
        <w:jc w:val="both"/>
        <w:rPr>
          <w:rFonts w:ascii="Arial" w:hAnsi="Arial" w:cs="Arial"/>
          <w:b/>
          <w:sz w:val="24"/>
          <w:szCs w:val="24"/>
        </w:rPr>
      </w:pPr>
      <w:r>
        <w:rPr>
          <w:rFonts w:ascii="Arial" w:hAnsi="Arial" w:cs="Arial"/>
          <w:b/>
          <w:sz w:val="24"/>
          <w:szCs w:val="24"/>
        </w:rPr>
        <w:t>Oficina de Asuntos Legales</w:t>
      </w:r>
    </w:p>
    <w:p w:rsidR="00B62B15" w:rsidRPr="00B62B15" w:rsidRDefault="00B62B15"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Se redujo el uso de bufetes externos para asuntos cotidianos. </w:t>
      </w:r>
    </w:p>
    <w:p w:rsidR="00B62B15" w:rsidRPr="00B62B15" w:rsidRDefault="00B62B15"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Se estandarizaron las tarifas de los bufetes externos conforme las normas establecidas por la Oficina del Contralor.</w:t>
      </w:r>
    </w:p>
    <w:p w:rsidR="00B62B15" w:rsidRPr="00B62B15" w:rsidRDefault="00B62B15"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Creamos un plan de trabajo para atender los casos de cobro de dinero. </w:t>
      </w:r>
    </w:p>
    <w:p w:rsidR="00B62B15" w:rsidRPr="00165EB8" w:rsidRDefault="00A06654"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Comenzamos </w:t>
      </w:r>
      <w:r w:rsidR="00B62B15">
        <w:rPr>
          <w:rFonts w:ascii="Arial" w:hAnsi="Arial" w:cs="Arial"/>
          <w:sz w:val="24"/>
          <w:szCs w:val="24"/>
        </w:rPr>
        <w:t xml:space="preserve">un proyecto piloto para el manejo de los casos de quiebras de nuestros participantes y pensionados. </w:t>
      </w:r>
    </w:p>
    <w:p w:rsidR="00165EB8" w:rsidRPr="00165EB8" w:rsidRDefault="00165EB8"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Nos unimos al caso que llevaba un grupo de pensionados contra UBS en relación a la emisión de bonos del 2008, la cual ha creado pérdidas significativas a la ASR. Tenemos una alta expectativa de recuperar estas pérdidas y daños relacionados a este asunto. </w:t>
      </w:r>
    </w:p>
    <w:p w:rsidR="00165EB8" w:rsidRPr="00165EB8" w:rsidRDefault="00165EB8" w:rsidP="00B62B15">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Fuimos designados como demandante principal en la acción de clase contra Volkswagen AG que llevan varios estados. Este caso promete generar ingresos significativos para la ASR. </w:t>
      </w:r>
    </w:p>
    <w:p w:rsidR="00165EB8" w:rsidRPr="00165EB8" w:rsidRDefault="00165EB8" w:rsidP="00165EB8">
      <w:pPr>
        <w:pStyle w:val="ListParagraph"/>
        <w:spacing w:after="0"/>
        <w:ind w:left="1800"/>
        <w:jc w:val="both"/>
        <w:rPr>
          <w:rFonts w:ascii="Arial" w:hAnsi="Arial" w:cs="Arial"/>
          <w:b/>
          <w:sz w:val="24"/>
          <w:szCs w:val="24"/>
        </w:rPr>
      </w:pPr>
    </w:p>
    <w:p w:rsidR="00165EB8" w:rsidRDefault="00165EB8" w:rsidP="00165EB8">
      <w:pPr>
        <w:pStyle w:val="ListParagraph"/>
        <w:numPr>
          <w:ilvl w:val="0"/>
          <w:numId w:val="40"/>
        </w:numPr>
        <w:spacing w:after="0"/>
        <w:jc w:val="both"/>
        <w:rPr>
          <w:rFonts w:ascii="Arial" w:hAnsi="Arial" w:cs="Arial"/>
          <w:b/>
          <w:sz w:val="24"/>
          <w:szCs w:val="24"/>
        </w:rPr>
      </w:pPr>
      <w:r>
        <w:rPr>
          <w:rFonts w:ascii="Arial" w:hAnsi="Arial" w:cs="Arial"/>
          <w:b/>
          <w:sz w:val="24"/>
          <w:szCs w:val="24"/>
        </w:rPr>
        <w:t>Área de Sistemas de Información</w:t>
      </w:r>
    </w:p>
    <w:p w:rsidR="00165EB8" w:rsidRPr="00B62B15" w:rsidRDefault="00165EB8" w:rsidP="00165EB8">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En las próximas semanas lanzaremos una aplicación para solicitar préstamos online. </w:t>
      </w:r>
    </w:p>
    <w:p w:rsidR="00456543" w:rsidRPr="00456543" w:rsidRDefault="00165EB8" w:rsidP="00456543">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Presentaremos al Comité de Asuntos de Administración una solicitud de fondos para unificar las aplicaciones electrónicas de la ASR. Este proyecto promete aumentar la eficiencia de los empleados y reducir los tiempos de espera de los clientes de la ASR. </w:t>
      </w:r>
    </w:p>
    <w:p w:rsidR="00456543" w:rsidRPr="00456543" w:rsidRDefault="00456543" w:rsidP="00456543">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Lanzaremos una nueva página Web que ofrezca a nuestros participantes y pensionados mayor información y servicios interactivos. </w:t>
      </w:r>
    </w:p>
    <w:p w:rsidR="00456543" w:rsidRPr="00456543" w:rsidRDefault="00456543" w:rsidP="00456543">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Establecimos un acuerdo colaborativo con el Sistema de Retiro de la Universidad de Puerto Rico para los programas AIP y SABI, que proveen la interfaz principal de los sistemas. </w:t>
      </w:r>
    </w:p>
    <w:p w:rsidR="00B62B15" w:rsidRPr="00165EB8" w:rsidRDefault="00B62B15" w:rsidP="00165EB8">
      <w:pPr>
        <w:spacing w:after="0"/>
        <w:jc w:val="both"/>
        <w:rPr>
          <w:rFonts w:ascii="Arial" w:hAnsi="Arial" w:cs="Arial"/>
          <w:b/>
          <w:sz w:val="24"/>
          <w:szCs w:val="24"/>
        </w:rPr>
      </w:pPr>
    </w:p>
    <w:p w:rsidR="00B62B15" w:rsidRDefault="00B62B15" w:rsidP="00B62B15">
      <w:pPr>
        <w:pStyle w:val="ListParagraph"/>
        <w:numPr>
          <w:ilvl w:val="0"/>
          <w:numId w:val="40"/>
        </w:numPr>
        <w:spacing w:after="0"/>
        <w:jc w:val="both"/>
        <w:rPr>
          <w:rFonts w:ascii="Arial" w:hAnsi="Arial" w:cs="Arial"/>
          <w:b/>
          <w:sz w:val="24"/>
          <w:szCs w:val="24"/>
        </w:rPr>
      </w:pPr>
      <w:r>
        <w:rPr>
          <w:rFonts w:ascii="Arial" w:hAnsi="Arial" w:cs="Arial"/>
          <w:b/>
          <w:sz w:val="24"/>
          <w:szCs w:val="24"/>
        </w:rPr>
        <w:t>Área de Servicio al Cliente</w:t>
      </w:r>
    </w:p>
    <w:p w:rsidR="00B62B15" w:rsidRPr="00B62B15" w:rsidRDefault="00B62B15" w:rsidP="00B62B15">
      <w:pPr>
        <w:pStyle w:val="ListParagraph"/>
        <w:numPr>
          <w:ilvl w:val="1"/>
          <w:numId w:val="40"/>
        </w:numPr>
        <w:spacing w:after="0"/>
        <w:jc w:val="both"/>
        <w:rPr>
          <w:rFonts w:ascii="Arial" w:hAnsi="Arial" w:cs="Arial"/>
          <w:b/>
          <w:sz w:val="24"/>
          <w:szCs w:val="24"/>
        </w:rPr>
      </w:pPr>
      <w:r w:rsidRPr="00B62B15">
        <w:rPr>
          <w:rFonts w:ascii="Arial" w:hAnsi="Arial" w:cs="Arial"/>
          <w:sz w:val="24"/>
          <w:szCs w:val="24"/>
        </w:rPr>
        <w:t>Total de Público atendido desde enero de 2013 hasta agosto de 2016: 430,034 clientes. Además de atender 1</w:t>
      </w:r>
      <w:r w:rsidR="00A06654">
        <w:rPr>
          <w:rFonts w:ascii="Arial" w:hAnsi="Arial" w:cs="Arial"/>
          <w:sz w:val="24"/>
          <w:szCs w:val="24"/>
        </w:rPr>
        <w:t>,</w:t>
      </w:r>
      <w:r w:rsidR="00A06654" w:rsidRPr="00B62B15">
        <w:rPr>
          <w:rFonts w:ascii="Arial" w:hAnsi="Arial" w:cs="Arial"/>
          <w:sz w:val="24"/>
          <w:szCs w:val="24"/>
        </w:rPr>
        <w:t>434,158</w:t>
      </w:r>
      <w:r w:rsidRPr="00B62B15">
        <w:rPr>
          <w:rFonts w:ascii="Arial" w:hAnsi="Arial" w:cs="Arial"/>
          <w:sz w:val="24"/>
          <w:szCs w:val="24"/>
        </w:rPr>
        <w:t xml:space="preserve"> llamadas telefónicas.</w:t>
      </w:r>
    </w:p>
    <w:p w:rsidR="00B62B15" w:rsidRPr="00B62B15" w:rsidRDefault="00B62B15" w:rsidP="00B62B15">
      <w:pPr>
        <w:pStyle w:val="ListParagraph"/>
        <w:numPr>
          <w:ilvl w:val="1"/>
          <w:numId w:val="40"/>
        </w:numPr>
        <w:spacing w:after="0"/>
        <w:jc w:val="both"/>
        <w:rPr>
          <w:rFonts w:ascii="Arial" w:hAnsi="Arial" w:cs="Arial"/>
          <w:b/>
          <w:sz w:val="24"/>
          <w:szCs w:val="24"/>
        </w:rPr>
      </w:pPr>
      <w:r w:rsidRPr="00B62B15">
        <w:rPr>
          <w:rFonts w:ascii="Arial" w:hAnsi="Arial" w:cs="Arial"/>
          <w:sz w:val="24"/>
          <w:szCs w:val="24"/>
        </w:rPr>
        <w:t xml:space="preserve">Reabrimos una oficina de servicio en Humacao. </w:t>
      </w:r>
    </w:p>
    <w:p w:rsidR="00B62B15" w:rsidRPr="00B62B15" w:rsidRDefault="00B62B15" w:rsidP="00B62B15">
      <w:pPr>
        <w:pStyle w:val="ListParagraph"/>
        <w:numPr>
          <w:ilvl w:val="1"/>
          <w:numId w:val="40"/>
        </w:numPr>
        <w:spacing w:after="0"/>
        <w:jc w:val="both"/>
        <w:rPr>
          <w:rFonts w:ascii="Arial" w:hAnsi="Arial" w:cs="Arial"/>
          <w:b/>
          <w:sz w:val="24"/>
          <w:szCs w:val="24"/>
        </w:rPr>
      </w:pPr>
      <w:r w:rsidRPr="00B62B15">
        <w:rPr>
          <w:rFonts w:ascii="Arial" w:hAnsi="Arial" w:cs="Arial"/>
          <w:sz w:val="24"/>
          <w:szCs w:val="24"/>
        </w:rPr>
        <w:t xml:space="preserve">Nos mudamos a una oficina en conjunto con el Sistema de Retiro de Maestros en el Municipio de Caguas con un ahorro anual de sobre $10,000 anuales. </w:t>
      </w:r>
    </w:p>
    <w:p w:rsidR="00B62B15" w:rsidRPr="00B62B15" w:rsidRDefault="00B62B15" w:rsidP="00B62B15">
      <w:pPr>
        <w:pStyle w:val="ListParagraph"/>
        <w:numPr>
          <w:ilvl w:val="1"/>
          <w:numId w:val="40"/>
        </w:numPr>
        <w:spacing w:after="0"/>
        <w:jc w:val="both"/>
        <w:rPr>
          <w:rFonts w:ascii="Arial" w:hAnsi="Arial" w:cs="Arial"/>
          <w:b/>
          <w:sz w:val="24"/>
          <w:szCs w:val="24"/>
        </w:rPr>
      </w:pPr>
      <w:r w:rsidRPr="00B62B15">
        <w:rPr>
          <w:rFonts w:ascii="Arial" w:hAnsi="Arial" w:cs="Arial"/>
          <w:sz w:val="24"/>
          <w:szCs w:val="24"/>
        </w:rPr>
        <w:t xml:space="preserve">Nos mudamos a una oficina nueva en el Ponce, en la cual ahorramos sobre $14,000 anuales. </w:t>
      </w:r>
    </w:p>
    <w:p w:rsidR="00B62B15" w:rsidRPr="00B62B15" w:rsidRDefault="00B62B15" w:rsidP="00B62B15">
      <w:pPr>
        <w:pStyle w:val="ListParagraph"/>
        <w:numPr>
          <w:ilvl w:val="1"/>
          <w:numId w:val="40"/>
        </w:numPr>
        <w:spacing w:after="0"/>
        <w:jc w:val="both"/>
        <w:rPr>
          <w:rFonts w:ascii="Arial" w:hAnsi="Arial" w:cs="Arial"/>
          <w:b/>
          <w:sz w:val="24"/>
          <w:szCs w:val="24"/>
        </w:rPr>
      </w:pPr>
      <w:r w:rsidRPr="00B62B15">
        <w:rPr>
          <w:rFonts w:ascii="Arial" w:hAnsi="Arial" w:cs="Arial"/>
          <w:sz w:val="24"/>
          <w:szCs w:val="24"/>
        </w:rPr>
        <w:lastRenderedPageBreak/>
        <w:t xml:space="preserve">Durante el período comprendido entre el 1 de enero de 2013 hasta el 31 de agosto de 2016, el Centro de Orientación, junto a las Oficinas Regionales han atendido </w:t>
      </w:r>
      <w:r w:rsidRPr="00B62B15">
        <w:rPr>
          <w:rFonts w:ascii="Arial" w:hAnsi="Arial" w:cs="Arial"/>
          <w:b/>
          <w:sz w:val="24"/>
          <w:szCs w:val="24"/>
          <w:u w:val="single"/>
        </w:rPr>
        <w:t>430,034</w:t>
      </w:r>
      <w:r w:rsidRPr="00B62B15">
        <w:rPr>
          <w:rFonts w:ascii="Arial" w:hAnsi="Arial" w:cs="Arial"/>
          <w:sz w:val="24"/>
          <w:szCs w:val="24"/>
        </w:rPr>
        <w:t xml:space="preserve"> clientes y </w:t>
      </w:r>
      <w:r w:rsidRPr="00B62B15">
        <w:rPr>
          <w:rFonts w:ascii="Arial" w:hAnsi="Arial" w:cs="Arial"/>
          <w:b/>
          <w:sz w:val="24"/>
          <w:szCs w:val="24"/>
          <w:u w:val="single"/>
        </w:rPr>
        <w:t>1,434,158</w:t>
      </w:r>
      <w:r w:rsidRPr="00B62B15">
        <w:rPr>
          <w:rFonts w:ascii="Arial" w:hAnsi="Arial" w:cs="Arial"/>
          <w:sz w:val="24"/>
          <w:szCs w:val="24"/>
        </w:rPr>
        <w:t xml:space="preserve"> llamadas telefónicas. Para los datos estadísticos por año natural, favor referirse a las gráficas de Excel.</w:t>
      </w:r>
    </w:p>
    <w:p w:rsidR="00B62B15" w:rsidRDefault="00B62B15" w:rsidP="00B62B15">
      <w:pPr>
        <w:pStyle w:val="ListParagraph"/>
        <w:spacing w:after="0"/>
        <w:ind w:left="360"/>
        <w:jc w:val="both"/>
        <w:rPr>
          <w:rFonts w:ascii="Arial" w:hAnsi="Arial" w:cs="Arial"/>
          <w:sz w:val="24"/>
          <w:szCs w:val="24"/>
        </w:rPr>
      </w:pPr>
    </w:p>
    <w:p w:rsidR="00B62B15" w:rsidRPr="00206703" w:rsidRDefault="00B62B15" w:rsidP="00B62B15">
      <w:pPr>
        <w:pStyle w:val="ListParagraph"/>
        <w:spacing w:after="0"/>
        <w:ind w:left="0"/>
        <w:jc w:val="both"/>
        <w:rPr>
          <w:rFonts w:ascii="Arial" w:hAnsi="Arial" w:cs="Arial"/>
          <w:sz w:val="24"/>
          <w:szCs w:val="24"/>
        </w:rPr>
      </w:pPr>
      <w:r>
        <w:rPr>
          <w:rFonts w:ascii="Arial" w:hAnsi="Arial" w:cs="Arial"/>
          <w:noProof/>
          <w:sz w:val="24"/>
          <w:szCs w:val="24"/>
          <w:lang w:val="en-US"/>
        </w:rPr>
        <w:drawing>
          <wp:inline distT="0" distB="0" distL="0" distR="0" wp14:anchorId="07ECD100" wp14:editId="231AABDE">
            <wp:extent cx="6052295" cy="1862842"/>
            <wp:effectExtent l="19050" t="0" r="24655" b="405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B15" w:rsidRDefault="00B62B15" w:rsidP="00B62B15">
      <w:pPr>
        <w:spacing w:after="0"/>
        <w:rPr>
          <w:rFonts w:ascii="Arial" w:hAnsi="Arial" w:cs="Arial"/>
        </w:rPr>
      </w:pPr>
    </w:p>
    <w:p w:rsidR="00B62B15" w:rsidRDefault="00B62B15" w:rsidP="00B62B15">
      <w:pPr>
        <w:spacing w:after="0"/>
        <w:rPr>
          <w:rFonts w:ascii="Arial" w:hAnsi="Arial" w:cs="Arial"/>
        </w:rPr>
      </w:pPr>
      <w:r w:rsidRPr="00DA2367">
        <w:rPr>
          <w:rFonts w:ascii="Arial" w:hAnsi="Arial" w:cs="Arial"/>
          <w:noProof/>
          <w:lang w:val="en-US"/>
        </w:rPr>
        <w:drawing>
          <wp:inline distT="0" distB="0" distL="0" distR="0" wp14:anchorId="51402655" wp14:editId="250B7E0C">
            <wp:extent cx="6052295" cy="1741336"/>
            <wp:effectExtent l="19050" t="0" r="2465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2B15" w:rsidRPr="00456543" w:rsidRDefault="00B62B15" w:rsidP="00456543">
      <w:pPr>
        <w:spacing w:after="0"/>
        <w:jc w:val="both"/>
        <w:rPr>
          <w:rFonts w:ascii="Arial" w:hAnsi="Arial" w:cs="Arial"/>
          <w:b/>
          <w:sz w:val="24"/>
          <w:szCs w:val="24"/>
        </w:rPr>
      </w:pPr>
    </w:p>
    <w:p w:rsidR="00B62B15" w:rsidRDefault="00B62B15" w:rsidP="00B62B15">
      <w:pPr>
        <w:pStyle w:val="ListParagraph"/>
        <w:numPr>
          <w:ilvl w:val="0"/>
          <w:numId w:val="40"/>
        </w:numPr>
        <w:spacing w:after="0"/>
        <w:jc w:val="both"/>
        <w:rPr>
          <w:rFonts w:ascii="Arial" w:hAnsi="Arial" w:cs="Arial"/>
          <w:b/>
          <w:sz w:val="24"/>
          <w:szCs w:val="24"/>
        </w:rPr>
      </w:pPr>
      <w:r>
        <w:rPr>
          <w:rFonts w:ascii="Arial" w:hAnsi="Arial" w:cs="Arial"/>
          <w:b/>
          <w:sz w:val="24"/>
          <w:szCs w:val="24"/>
        </w:rPr>
        <w:t>Área de Servicios Admi</w:t>
      </w:r>
      <w:r w:rsidR="00165EB8">
        <w:rPr>
          <w:rFonts w:ascii="Arial" w:hAnsi="Arial" w:cs="Arial"/>
          <w:b/>
          <w:sz w:val="24"/>
          <w:szCs w:val="24"/>
        </w:rPr>
        <w:t>nistrativos</w:t>
      </w:r>
    </w:p>
    <w:p w:rsidR="00165EB8" w:rsidRPr="00456543" w:rsidRDefault="00165EB8" w:rsidP="00165EB8">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Completamos el arrendamiento del piso 8 de la oficina central de la ASR a la Oficina del Comisionado de Asuntos Municipales, lo cual conlleva una inversión de sobre $1.3 millones y la creación de sobre 20 empleos de construcción. Estas facilidades serán </w:t>
      </w:r>
      <w:r w:rsidR="003B3C61">
        <w:rPr>
          <w:rFonts w:ascii="Arial" w:hAnsi="Arial" w:cs="Arial"/>
          <w:sz w:val="24"/>
          <w:szCs w:val="24"/>
        </w:rPr>
        <w:t>inauguradas</w:t>
      </w:r>
      <w:r>
        <w:rPr>
          <w:rFonts w:ascii="Arial" w:hAnsi="Arial" w:cs="Arial"/>
          <w:sz w:val="24"/>
          <w:szCs w:val="24"/>
        </w:rPr>
        <w:t xml:space="preserve"> en diciembre de 2016. </w:t>
      </w:r>
    </w:p>
    <w:p w:rsidR="00456543" w:rsidRPr="00456543" w:rsidRDefault="00456543" w:rsidP="00165EB8">
      <w:pPr>
        <w:pStyle w:val="ListParagraph"/>
        <w:numPr>
          <w:ilvl w:val="1"/>
          <w:numId w:val="40"/>
        </w:numPr>
        <w:spacing w:after="0"/>
        <w:jc w:val="both"/>
        <w:rPr>
          <w:rFonts w:ascii="Arial" w:hAnsi="Arial" w:cs="Arial"/>
          <w:b/>
          <w:sz w:val="24"/>
          <w:szCs w:val="24"/>
        </w:rPr>
      </w:pPr>
      <w:r>
        <w:rPr>
          <w:rFonts w:ascii="Arial" w:hAnsi="Arial" w:cs="Arial"/>
          <w:sz w:val="24"/>
          <w:szCs w:val="24"/>
        </w:rPr>
        <w:t>Completamos la instalación de nueva luminaria LED, la cual resultará en ahorros significativos para la ASR.</w:t>
      </w:r>
    </w:p>
    <w:p w:rsidR="00165EB8" w:rsidRPr="00456543" w:rsidRDefault="00456543" w:rsidP="00456543">
      <w:pPr>
        <w:pStyle w:val="ListParagraph"/>
        <w:numPr>
          <w:ilvl w:val="1"/>
          <w:numId w:val="40"/>
        </w:numPr>
        <w:spacing w:after="0"/>
        <w:jc w:val="both"/>
        <w:rPr>
          <w:rFonts w:ascii="Arial" w:hAnsi="Arial" w:cs="Arial"/>
          <w:b/>
          <w:sz w:val="24"/>
          <w:szCs w:val="24"/>
        </w:rPr>
      </w:pPr>
      <w:r>
        <w:rPr>
          <w:rFonts w:ascii="Arial" w:hAnsi="Arial" w:cs="Arial"/>
          <w:sz w:val="24"/>
          <w:szCs w:val="24"/>
        </w:rPr>
        <w:t xml:space="preserve">Arrendamos un espacio del lobby de nuestra oficina central a </w:t>
      </w:r>
      <w:proofErr w:type="spellStart"/>
      <w:r>
        <w:rPr>
          <w:rFonts w:ascii="Arial" w:hAnsi="Arial" w:cs="Arial"/>
          <w:sz w:val="24"/>
          <w:szCs w:val="24"/>
        </w:rPr>
        <w:t>Colao</w:t>
      </w:r>
      <w:proofErr w:type="spellEnd"/>
      <w:r>
        <w:rPr>
          <w:rFonts w:ascii="Arial" w:hAnsi="Arial" w:cs="Arial"/>
          <w:sz w:val="24"/>
          <w:szCs w:val="24"/>
        </w:rPr>
        <w:t xml:space="preserve"> </w:t>
      </w:r>
      <w:proofErr w:type="spellStart"/>
      <w:r>
        <w:rPr>
          <w:rFonts w:ascii="Arial" w:hAnsi="Arial" w:cs="Arial"/>
          <w:sz w:val="24"/>
          <w:szCs w:val="24"/>
        </w:rPr>
        <w:t>Coffee</w:t>
      </w:r>
      <w:proofErr w:type="spellEnd"/>
      <w:r>
        <w:rPr>
          <w:rFonts w:ascii="Arial" w:hAnsi="Arial" w:cs="Arial"/>
          <w:sz w:val="24"/>
          <w:szCs w:val="24"/>
        </w:rPr>
        <w:t xml:space="preserve"> Bar, lo cual ofrece a las personas que visitan el edificio y nuestros empleados mayores opciones. </w:t>
      </w:r>
    </w:p>
    <w:p w:rsidR="00456543" w:rsidRDefault="00456543" w:rsidP="00456543">
      <w:pPr>
        <w:pStyle w:val="ListParagraph"/>
        <w:spacing w:after="0"/>
        <w:ind w:left="1800"/>
        <w:jc w:val="both"/>
        <w:rPr>
          <w:rFonts w:ascii="Arial" w:hAnsi="Arial" w:cs="Arial"/>
          <w:b/>
          <w:sz w:val="24"/>
          <w:szCs w:val="24"/>
        </w:rPr>
      </w:pPr>
    </w:p>
    <w:p w:rsidR="004A1AF9" w:rsidRDefault="004A1AF9" w:rsidP="00456543">
      <w:pPr>
        <w:pStyle w:val="ListParagraph"/>
        <w:spacing w:after="0"/>
        <w:ind w:left="1800"/>
        <w:jc w:val="both"/>
        <w:rPr>
          <w:rFonts w:ascii="Arial" w:hAnsi="Arial" w:cs="Arial"/>
          <w:b/>
          <w:sz w:val="24"/>
          <w:szCs w:val="24"/>
        </w:rPr>
      </w:pPr>
    </w:p>
    <w:p w:rsidR="004A1AF9" w:rsidRPr="00456543" w:rsidRDefault="004A1AF9" w:rsidP="00456543">
      <w:pPr>
        <w:pStyle w:val="ListParagraph"/>
        <w:spacing w:after="0"/>
        <w:ind w:left="1800"/>
        <w:jc w:val="both"/>
        <w:rPr>
          <w:rFonts w:ascii="Arial" w:hAnsi="Arial" w:cs="Arial"/>
          <w:b/>
          <w:sz w:val="24"/>
          <w:szCs w:val="24"/>
        </w:rPr>
      </w:pPr>
      <w:bookmarkStart w:id="0" w:name="_GoBack"/>
      <w:bookmarkEnd w:id="0"/>
    </w:p>
    <w:p w:rsidR="00165EB8" w:rsidRPr="00165EB8" w:rsidRDefault="00165EB8" w:rsidP="00165EB8">
      <w:pPr>
        <w:pStyle w:val="ListParagraph"/>
        <w:numPr>
          <w:ilvl w:val="0"/>
          <w:numId w:val="2"/>
        </w:numPr>
        <w:spacing w:after="0"/>
        <w:jc w:val="both"/>
        <w:rPr>
          <w:rFonts w:ascii="Arial" w:hAnsi="Arial" w:cs="Arial"/>
          <w:b/>
          <w:sz w:val="24"/>
          <w:szCs w:val="24"/>
        </w:rPr>
      </w:pPr>
      <w:r w:rsidRPr="00165EB8">
        <w:rPr>
          <w:rFonts w:ascii="Arial" w:hAnsi="Arial" w:cs="Arial"/>
          <w:b/>
          <w:sz w:val="24"/>
          <w:szCs w:val="24"/>
        </w:rPr>
        <w:t>Conclusión</w:t>
      </w:r>
    </w:p>
    <w:p w:rsidR="00165EB8" w:rsidRDefault="00165EB8" w:rsidP="00165EB8">
      <w:pPr>
        <w:spacing w:after="0"/>
        <w:jc w:val="both"/>
        <w:rPr>
          <w:rFonts w:ascii="Arial" w:hAnsi="Arial" w:cs="Arial"/>
          <w:b/>
          <w:sz w:val="24"/>
          <w:szCs w:val="24"/>
        </w:rPr>
      </w:pPr>
    </w:p>
    <w:p w:rsidR="00165EB8" w:rsidRDefault="00165EB8" w:rsidP="00165EB8">
      <w:pPr>
        <w:spacing w:after="0"/>
        <w:jc w:val="both"/>
        <w:rPr>
          <w:rFonts w:ascii="Arial" w:hAnsi="Arial" w:cs="Arial"/>
          <w:sz w:val="24"/>
          <w:szCs w:val="24"/>
        </w:rPr>
      </w:pPr>
      <w:r>
        <w:rPr>
          <w:rFonts w:ascii="Arial" w:hAnsi="Arial" w:cs="Arial"/>
          <w:sz w:val="24"/>
          <w:szCs w:val="24"/>
        </w:rPr>
        <w:t>Pese a los logros que vertimos en este Informe de Transición, queda mucho por hacer en la ASR. Es</w:t>
      </w:r>
      <w:r w:rsidR="00CA27EF">
        <w:rPr>
          <w:rFonts w:ascii="Arial" w:hAnsi="Arial" w:cs="Arial"/>
          <w:sz w:val="24"/>
          <w:szCs w:val="24"/>
        </w:rPr>
        <w:t>ta agencia sirve aproximadamente 119,000</w:t>
      </w:r>
      <w:r>
        <w:rPr>
          <w:rFonts w:ascii="Arial" w:hAnsi="Arial" w:cs="Arial"/>
          <w:sz w:val="24"/>
          <w:szCs w:val="24"/>
        </w:rPr>
        <w:t xml:space="preserve"> participantes activos y sobre 121,000 pensionados, lo cual representa un compromiso logístico </w:t>
      </w:r>
      <w:r w:rsidR="003B3C61">
        <w:rPr>
          <w:rFonts w:ascii="Arial" w:hAnsi="Arial" w:cs="Arial"/>
          <w:sz w:val="24"/>
          <w:szCs w:val="24"/>
        </w:rPr>
        <w:t>significativo</w:t>
      </w:r>
      <w:r w:rsidR="00456543">
        <w:rPr>
          <w:rFonts w:ascii="Arial" w:hAnsi="Arial" w:cs="Arial"/>
          <w:sz w:val="24"/>
          <w:szCs w:val="24"/>
        </w:rPr>
        <w:t>. Pese a esto, debo resaltar los esfuerzos de nuestro equipo en prov</w:t>
      </w:r>
      <w:r w:rsidR="00CA27EF">
        <w:rPr>
          <w:rFonts w:ascii="Arial" w:hAnsi="Arial" w:cs="Arial"/>
          <w:sz w:val="24"/>
          <w:szCs w:val="24"/>
        </w:rPr>
        <w:t>e</w:t>
      </w:r>
      <w:r w:rsidR="00456543">
        <w:rPr>
          <w:rFonts w:ascii="Arial" w:hAnsi="Arial" w:cs="Arial"/>
          <w:sz w:val="24"/>
          <w:szCs w:val="24"/>
        </w:rPr>
        <w:t xml:space="preserve">er un servicio al cliente de excelencia y atreverse a </w:t>
      </w:r>
      <w:r w:rsidR="00CA27EF">
        <w:rPr>
          <w:rFonts w:ascii="Arial" w:hAnsi="Arial" w:cs="Arial"/>
          <w:sz w:val="24"/>
          <w:szCs w:val="24"/>
        </w:rPr>
        <w:t xml:space="preserve">pensar en el futuro de la ASR, sin limitarse en </w:t>
      </w:r>
      <w:r w:rsidR="00456543">
        <w:rPr>
          <w:rFonts w:ascii="Arial" w:hAnsi="Arial" w:cs="Arial"/>
          <w:sz w:val="24"/>
          <w:szCs w:val="24"/>
        </w:rPr>
        <w:t xml:space="preserve">sus retos fiscales a corto plazo. </w:t>
      </w:r>
      <w:r w:rsidR="00456543">
        <w:rPr>
          <w:rFonts w:ascii="Arial" w:hAnsi="Arial" w:cs="Arial"/>
          <w:sz w:val="24"/>
          <w:szCs w:val="24"/>
        </w:rPr>
        <w:tab/>
      </w:r>
    </w:p>
    <w:p w:rsidR="00142119" w:rsidRDefault="00142119" w:rsidP="00165EB8">
      <w:pPr>
        <w:spacing w:after="0"/>
        <w:jc w:val="both"/>
        <w:rPr>
          <w:rFonts w:ascii="Arial" w:hAnsi="Arial" w:cs="Arial"/>
          <w:sz w:val="24"/>
          <w:szCs w:val="24"/>
        </w:rPr>
      </w:pPr>
    </w:p>
    <w:p w:rsidR="00142119" w:rsidRDefault="00142119" w:rsidP="00165EB8">
      <w:pPr>
        <w:spacing w:after="0"/>
        <w:jc w:val="both"/>
        <w:rPr>
          <w:rFonts w:ascii="Arial" w:hAnsi="Arial" w:cs="Arial"/>
          <w:sz w:val="24"/>
          <w:szCs w:val="24"/>
        </w:rPr>
      </w:pPr>
      <w:r>
        <w:rPr>
          <w:rFonts w:ascii="Arial" w:hAnsi="Arial" w:cs="Arial"/>
          <w:sz w:val="24"/>
          <w:szCs w:val="24"/>
        </w:rPr>
        <w:t>Desde el punto de vista operacional, nuestros esfuerzos deben dirigirse a crear mayor certidumbre a nuestros pensionados de que recibirán sus pensiones en el futuro. Ese es el norte de nuestra agencia</w:t>
      </w:r>
      <w:r w:rsidR="00CA27EF">
        <w:rPr>
          <w:rFonts w:ascii="Arial" w:hAnsi="Arial" w:cs="Arial"/>
          <w:sz w:val="24"/>
          <w:szCs w:val="24"/>
        </w:rPr>
        <w:t xml:space="preserve">, pues, así lo establece </w:t>
      </w:r>
      <w:r>
        <w:rPr>
          <w:rFonts w:ascii="Arial" w:hAnsi="Arial" w:cs="Arial"/>
          <w:sz w:val="24"/>
          <w:szCs w:val="24"/>
        </w:rPr>
        <w:t xml:space="preserve">nuestra ley orgánica. </w:t>
      </w:r>
      <w:r w:rsidR="00CA27EF">
        <w:rPr>
          <w:rFonts w:ascii="Arial" w:hAnsi="Arial" w:cs="Arial"/>
          <w:sz w:val="24"/>
          <w:szCs w:val="24"/>
        </w:rPr>
        <w:t xml:space="preserve">No </w:t>
      </w:r>
      <w:r>
        <w:rPr>
          <w:rFonts w:ascii="Arial" w:hAnsi="Arial" w:cs="Arial"/>
          <w:sz w:val="24"/>
          <w:szCs w:val="24"/>
        </w:rPr>
        <w:t xml:space="preserve">debemos perder de perspectiva </w:t>
      </w:r>
      <w:r w:rsidR="00CA27EF">
        <w:rPr>
          <w:rFonts w:ascii="Arial" w:hAnsi="Arial" w:cs="Arial"/>
          <w:sz w:val="24"/>
          <w:szCs w:val="24"/>
        </w:rPr>
        <w:t xml:space="preserve">que </w:t>
      </w:r>
      <w:r>
        <w:rPr>
          <w:rFonts w:ascii="Arial" w:hAnsi="Arial" w:cs="Arial"/>
          <w:sz w:val="24"/>
          <w:szCs w:val="24"/>
        </w:rPr>
        <w:t>los participantes activos</w:t>
      </w:r>
      <w:r w:rsidR="00CA27EF">
        <w:rPr>
          <w:rFonts w:ascii="Arial" w:hAnsi="Arial" w:cs="Arial"/>
          <w:sz w:val="24"/>
          <w:szCs w:val="24"/>
        </w:rPr>
        <w:t xml:space="preserve"> de la ASR</w:t>
      </w:r>
      <w:r>
        <w:rPr>
          <w:rFonts w:ascii="Arial" w:hAnsi="Arial" w:cs="Arial"/>
          <w:sz w:val="24"/>
          <w:szCs w:val="24"/>
        </w:rPr>
        <w:t xml:space="preserve"> migraron forzosamente al plan</w:t>
      </w:r>
      <w:r w:rsidR="00CA27EF">
        <w:rPr>
          <w:rFonts w:ascii="Arial" w:hAnsi="Arial" w:cs="Arial"/>
          <w:sz w:val="24"/>
          <w:szCs w:val="24"/>
        </w:rPr>
        <w:t xml:space="preserve"> híbrido mediante la aprobación de la Ley Núm. 3-2013. </w:t>
      </w:r>
      <w:r w:rsidR="00710370">
        <w:rPr>
          <w:rFonts w:ascii="Arial" w:hAnsi="Arial" w:cs="Arial"/>
          <w:sz w:val="24"/>
          <w:szCs w:val="24"/>
        </w:rPr>
        <w:t xml:space="preserve">Sin embargo, </w:t>
      </w:r>
      <w:r>
        <w:rPr>
          <w:rFonts w:ascii="Arial" w:hAnsi="Arial" w:cs="Arial"/>
          <w:sz w:val="24"/>
          <w:szCs w:val="24"/>
        </w:rPr>
        <w:t>el proceso legislativo</w:t>
      </w:r>
      <w:r w:rsidR="00710370">
        <w:rPr>
          <w:rFonts w:ascii="Arial" w:hAnsi="Arial" w:cs="Arial"/>
          <w:sz w:val="24"/>
          <w:szCs w:val="24"/>
        </w:rPr>
        <w:t xml:space="preserve"> no segregó</w:t>
      </w:r>
      <w:r>
        <w:rPr>
          <w:rFonts w:ascii="Arial" w:hAnsi="Arial" w:cs="Arial"/>
          <w:sz w:val="24"/>
          <w:szCs w:val="24"/>
        </w:rPr>
        <w:t xml:space="preserve"> los fideicomisos </w:t>
      </w:r>
      <w:r w:rsidR="00710370">
        <w:rPr>
          <w:rFonts w:ascii="Arial" w:hAnsi="Arial" w:cs="Arial"/>
          <w:sz w:val="24"/>
          <w:szCs w:val="24"/>
        </w:rPr>
        <w:t>de los pensionados y</w:t>
      </w:r>
      <w:r>
        <w:rPr>
          <w:rFonts w:ascii="Arial" w:hAnsi="Arial" w:cs="Arial"/>
          <w:sz w:val="24"/>
          <w:szCs w:val="24"/>
        </w:rPr>
        <w:t xml:space="preserve"> </w:t>
      </w:r>
      <w:r w:rsidR="00710370">
        <w:rPr>
          <w:rFonts w:ascii="Arial" w:hAnsi="Arial" w:cs="Arial"/>
          <w:sz w:val="24"/>
          <w:szCs w:val="24"/>
        </w:rPr>
        <w:t xml:space="preserve">aquellos participantes activos quienes, al momento de recibir su pensión, recibirán una pensión definida. </w:t>
      </w:r>
      <w:r>
        <w:rPr>
          <w:rFonts w:ascii="Arial" w:hAnsi="Arial" w:cs="Arial"/>
          <w:sz w:val="24"/>
          <w:szCs w:val="24"/>
        </w:rPr>
        <w:t xml:space="preserve">Esto crea una estructura similar al Seguro Social, en la cual el ingreso corriente se dirige para pagar las pensiones de los mayores. Ciertamente, ese modelo está destinado al fracaso económico. </w:t>
      </w:r>
    </w:p>
    <w:p w:rsidR="00142119" w:rsidRDefault="00142119" w:rsidP="00165EB8">
      <w:pPr>
        <w:spacing w:after="0"/>
        <w:jc w:val="both"/>
        <w:rPr>
          <w:rFonts w:ascii="Arial" w:hAnsi="Arial" w:cs="Arial"/>
          <w:sz w:val="24"/>
          <w:szCs w:val="24"/>
        </w:rPr>
      </w:pPr>
    </w:p>
    <w:p w:rsidR="00142119" w:rsidRDefault="00142119" w:rsidP="00165EB8">
      <w:pPr>
        <w:spacing w:after="0"/>
        <w:jc w:val="both"/>
        <w:rPr>
          <w:rFonts w:ascii="Arial" w:hAnsi="Arial" w:cs="Arial"/>
          <w:sz w:val="24"/>
          <w:szCs w:val="24"/>
        </w:rPr>
      </w:pPr>
      <w:r>
        <w:rPr>
          <w:rFonts w:ascii="Arial" w:hAnsi="Arial" w:cs="Arial"/>
          <w:sz w:val="24"/>
          <w:szCs w:val="24"/>
        </w:rPr>
        <w:t xml:space="preserve">Es por ello, que recomendamos que se </w:t>
      </w:r>
      <w:r w:rsidR="00710370">
        <w:rPr>
          <w:rFonts w:ascii="Arial" w:hAnsi="Arial" w:cs="Arial"/>
          <w:sz w:val="24"/>
          <w:szCs w:val="24"/>
        </w:rPr>
        <w:t>tome acción legislativa para segregar</w:t>
      </w:r>
      <w:r>
        <w:rPr>
          <w:rFonts w:ascii="Arial" w:hAnsi="Arial" w:cs="Arial"/>
          <w:sz w:val="24"/>
          <w:szCs w:val="24"/>
        </w:rPr>
        <w:t xml:space="preserve"> los fideicomisos de los pensionados (el cual puede llegar a ser </w:t>
      </w:r>
      <w:proofErr w:type="spellStart"/>
      <w:r w:rsidRPr="00710370">
        <w:rPr>
          <w:rFonts w:ascii="Arial" w:hAnsi="Arial" w:cs="Arial"/>
          <w:i/>
          <w:sz w:val="24"/>
          <w:szCs w:val="24"/>
        </w:rPr>
        <w:t>pay</w:t>
      </w:r>
      <w:proofErr w:type="spellEnd"/>
      <w:r w:rsidRPr="00710370">
        <w:rPr>
          <w:rFonts w:ascii="Arial" w:hAnsi="Arial" w:cs="Arial"/>
          <w:i/>
          <w:sz w:val="24"/>
          <w:szCs w:val="24"/>
        </w:rPr>
        <w:t>-as-</w:t>
      </w:r>
      <w:proofErr w:type="spellStart"/>
      <w:r w:rsidRPr="00710370">
        <w:rPr>
          <w:rFonts w:ascii="Arial" w:hAnsi="Arial" w:cs="Arial"/>
          <w:i/>
          <w:sz w:val="24"/>
          <w:szCs w:val="24"/>
        </w:rPr>
        <w:t>you</w:t>
      </w:r>
      <w:proofErr w:type="spellEnd"/>
      <w:r w:rsidRPr="00710370">
        <w:rPr>
          <w:rFonts w:ascii="Arial" w:hAnsi="Arial" w:cs="Arial"/>
          <w:i/>
          <w:sz w:val="24"/>
          <w:szCs w:val="24"/>
        </w:rPr>
        <w:t>-</w:t>
      </w:r>
      <w:proofErr w:type="spellStart"/>
      <w:r w:rsidRPr="00710370">
        <w:rPr>
          <w:rFonts w:ascii="Arial" w:hAnsi="Arial" w:cs="Arial"/>
          <w:i/>
          <w:sz w:val="24"/>
          <w:szCs w:val="24"/>
        </w:rPr>
        <w:t>go</w:t>
      </w:r>
      <w:proofErr w:type="spellEnd"/>
      <w:r>
        <w:rPr>
          <w:rFonts w:ascii="Arial" w:hAnsi="Arial" w:cs="Arial"/>
          <w:sz w:val="24"/>
          <w:szCs w:val="24"/>
        </w:rPr>
        <w:t xml:space="preserve"> próximamente) y el fideicomiso de los </w:t>
      </w:r>
      <w:r w:rsidR="00710370">
        <w:rPr>
          <w:rFonts w:ascii="Arial" w:hAnsi="Arial" w:cs="Arial"/>
          <w:sz w:val="24"/>
          <w:szCs w:val="24"/>
        </w:rPr>
        <w:t>participantes activos de la ASR</w:t>
      </w:r>
      <w:r>
        <w:rPr>
          <w:rFonts w:ascii="Arial" w:hAnsi="Arial" w:cs="Arial"/>
          <w:sz w:val="24"/>
          <w:szCs w:val="24"/>
        </w:rPr>
        <w:t xml:space="preserve">. El objetivo de esta medida </w:t>
      </w:r>
      <w:r w:rsidR="00710370">
        <w:rPr>
          <w:rFonts w:ascii="Arial" w:hAnsi="Arial" w:cs="Arial"/>
          <w:sz w:val="24"/>
          <w:szCs w:val="24"/>
        </w:rPr>
        <w:t>permitirá</w:t>
      </w:r>
      <w:r>
        <w:rPr>
          <w:rFonts w:ascii="Arial" w:hAnsi="Arial" w:cs="Arial"/>
          <w:sz w:val="24"/>
          <w:szCs w:val="24"/>
        </w:rPr>
        <w:t xml:space="preserve"> que crezca </w:t>
      </w:r>
      <w:r w:rsidR="00710370">
        <w:rPr>
          <w:rFonts w:ascii="Arial" w:hAnsi="Arial" w:cs="Arial"/>
          <w:sz w:val="24"/>
          <w:szCs w:val="24"/>
        </w:rPr>
        <w:t xml:space="preserve">el fideicomiso de pensiones definidas, para que, cuando llegue el momento </w:t>
      </w:r>
      <w:r>
        <w:rPr>
          <w:rFonts w:ascii="Arial" w:hAnsi="Arial" w:cs="Arial"/>
          <w:sz w:val="24"/>
          <w:szCs w:val="24"/>
        </w:rPr>
        <w:t xml:space="preserve">de pagar una anualidad a estos empleados existan </w:t>
      </w:r>
      <w:r w:rsidR="00710370">
        <w:rPr>
          <w:rFonts w:ascii="Arial" w:hAnsi="Arial" w:cs="Arial"/>
          <w:sz w:val="24"/>
          <w:szCs w:val="24"/>
        </w:rPr>
        <w:t xml:space="preserve">los </w:t>
      </w:r>
      <w:r>
        <w:rPr>
          <w:rFonts w:ascii="Arial" w:hAnsi="Arial" w:cs="Arial"/>
          <w:sz w:val="24"/>
          <w:szCs w:val="24"/>
        </w:rPr>
        <w:t xml:space="preserve">fondos </w:t>
      </w:r>
      <w:r w:rsidR="00710370">
        <w:rPr>
          <w:rFonts w:ascii="Arial" w:hAnsi="Arial" w:cs="Arial"/>
          <w:sz w:val="24"/>
          <w:szCs w:val="24"/>
        </w:rPr>
        <w:t xml:space="preserve">suficientes </w:t>
      </w:r>
      <w:r>
        <w:rPr>
          <w:rFonts w:ascii="Arial" w:hAnsi="Arial" w:cs="Arial"/>
          <w:sz w:val="24"/>
          <w:szCs w:val="24"/>
        </w:rPr>
        <w:t>con qu</w:t>
      </w:r>
      <w:r w:rsidR="00710370">
        <w:rPr>
          <w:rFonts w:ascii="Arial" w:hAnsi="Arial" w:cs="Arial"/>
          <w:sz w:val="24"/>
          <w:szCs w:val="24"/>
        </w:rPr>
        <w:t>é</w:t>
      </w:r>
      <w:r>
        <w:rPr>
          <w:rFonts w:ascii="Arial" w:hAnsi="Arial" w:cs="Arial"/>
          <w:sz w:val="24"/>
          <w:szCs w:val="24"/>
        </w:rPr>
        <w:t xml:space="preserve"> hacerlo. </w:t>
      </w:r>
    </w:p>
    <w:p w:rsidR="00142119" w:rsidRDefault="00142119" w:rsidP="00165EB8">
      <w:pPr>
        <w:spacing w:after="0"/>
        <w:jc w:val="both"/>
        <w:rPr>
          <w:rFonts w:ascii="Arial" w:hAnsi="Arial" w:cs="Arial"/>
          <w:sz w:val="24"/>
          <w:szCs w:val="24"/>
        </w:rPr>
      </w:pPr>
    </w:p>
    <w:p w:rsidR="00142119" w:rsidRDefault="00142119" w:rsidP="00165EB8">
      <w:pPr>
        <w:spacing w:after="0"/>
        <w:jc w:val="both"/>
        <w:rPr>
          <w:rFonts w:ascii="Arial" w:hAnsi="Arial" w:cs="Arial"/>
          <w:sz w:val="24"/>
          <w:szCs w:val="24"/>
        </w:rPr>
      </w:pPr>
      <w:r>
        <w:rPr>
          <w:rFonts w:ascii="Arial" w:hAnsi="Arial" w:cs="Arial"/>
          <w:sz w:val="24"/>
          <w:szCs w:val="24"/>
        </w:rPr>
        <w:t xml:space="preserve">Por otro lado, </w:t>
      </w:r>
      <w:r w:rsidR="00710370">
        <w:rPr>
          <w:rFonts w:ascii="Arial" w:hAnsi="Arial" w:cs="Arial"/>
          <w:sz w:val="24"/>
          <w:szCs w:val="24"/>
        </w:rPr>
        <w:t>entendemos necesario</w:t>
      </w:r>
      <w:r>
        <w:rPr>
          <w:rFonts w:ascii="Arial" w:hAnsi="Arial" w:cs="Arial"/>
          <w:sz w:val="24"/>
          <w:szCs w:val="24"/>
        </w:rPr>
        <w:t xml:space="preserve"> </w:t>
      </w:r>
      <w:r w:rsidR="00710370">
        <w:rPr>
          <w:rFonts w:ascii="Arial" w:hAnsi="Arial" w:cs="Arial"/>
          <w:sz w:val="24"/>
          <w:szCs w:val="24"/>
        </w:rPr>
        <w:t>derogar</w:t>
      </w:r>
      <w:r>
        <w:rPr>
          <w:rFonts w:ascii="Arial" w:hAnsi="Arial" w:cs="Arial"/>
          <w:sz w:val="24"/>
          <w:szCs w:val="24"/>
        </w:rPr>
        <w:t xml:space="preserve"> </w:t>
      </w:r>
      <w:r w:rsidR="00710370">
        <w:rPr>
          <w:rFonts w:ascii="Arial" w:hAnsi="Arial" w:cs="Arial"/>
          <w:sz w:val="24"/>
          <w:szCs w:val="24"/>
        </w:rPr>
        <w:t xml:space="preserve">la legislación </w:t>
      </w:r>
      <w:r>
        <w:rPr>
          <w:rFonts w:ascii="Arial" w:hAnsi="Arial" w:cs="Arial"/>
          <w:sz w:val="24"/>
          <w:szCs w:val="24"/>
        </w:rPr>
        <w:t xml:space="preserve">que </w:t>
      </w:r>
      <w:r w:rsidR="00710370">
        <w:rPr>
          <w:rFonts w:ascii="Arial" w:hAnsi="Arial" w:cs="Arial"/>
          <w:sz w:val="24"/>
          <w:szCs w:val="24"/>
        </w:rPr>
        <w:t xml:space="preserve">proveyó las herramientas para que </w:t>
      </w:r>
      <w:r>
        <w:rPr>
          <w:rFonts w:ascii="Arial" w:hAnsi="Arial" w:cs="Arial"/>
          <w:sz w:val="24"/>
          <w:szCs w:val="24"/>
        </w:rPr>
        <w:t>las cooperativas origina</w:t>
      </w:r>
      <w:r w:rsidR="00710370">
        <w:rPr>
          <w:rFonts w:ascii="Arial" w:hAnsi="Arial" w:cs="Arial"/>
          <w:sz w:val="24"/>
          <w:szCs w:val="24"/>
        </w:rPr>
        <w:t>ran</w:t>
      </w:r>
      <w:r>
        <w:rPr>
          <w:rFonts w:ascii="Arial" w:hAnsi="Arial" w:cs="Arial"/>
          <w:sz w:val="24"/>
          <w:szCs w:val="24"/>
        </w:rPr>
        <w:t xml:space="preserve"> préstamos utilizando </w:t>
      </w:r>
      <w:r w:rsidR="00710370">
        <w:rPr>
          <w:rFonts w:ascii="Arial" w:hAnsi="Arial" w:cs="Arial"/>
          <w:sz w:val="24"/>
          <w:szCs w:val="24"/>
        </w:rPr>
        <w:t xml:space="preserve">como </w:t>
      </w:r>
      <w:r>
        <w:rPr>
          <w:rFonts w:ascii="Arial" w:hAnsi="Arial" w:cs="Arial"/>
          <w:sz w:val="24"/>
          <w:szCs w:val="24"/>
        </w:rPr>
        <w:t xml:space="preserve">colateral </w:t>
      </w:r>
      <w:r w:rsidR="00710370">
        <w:rPr>
          <w:rFonts w:ascii="Arial" w:hAnsi="Arial" w:cs="Arial"/>
          <w:sz w:val="24"/>
          <w:szCs w:val="24"/>
        </w:rPr>
        <w:t xml:space="preserve">las aportaciones individuales </w:t>
      </w:r>
      <w:r>
        <w:rPr>
          <w:rFonts w:ascii="Arial" w:hAnsi="Arial" w:cs="Arial"/>
          <w:sz w:val="24"/>
          <w:szCs w:val="24"/>
        </w:rPr>
        <w:t xml:space="preserve">de los empleados públicos </w:t>
      </w:r>
      <w:r w:rsidR="00710370">
        <w:rPr>
          <w:rFonts w:ascii="Arial" w:hAnsi="Arial" w:cs="Arial"/>
          <w:sz w:val="24"/>
          <w:szCs w:val="24"/>
        </w:rPr>
        <w:t>de</w:t>
      </w:r>
      <w:r>
        <w:rPr>
          <w:rFonts w:ascii="Arial" w:hAnsi="Arial" w:cs="Arial"/>
          <w:sz w:val="24"/>
          <w:szCs w:val="24"/>
        </w:rPr>
        <w:t xml:space="preserve"> la ASR. </w:t>
      </w:r>
      <w:r w:rsidR="00710370">
        <w:rPr>
          <w:rFonts w:ascii="Arial" w:hAnsi="Arial" w:cs="Arial"/>
          <w:sz w:val="24"/>
          <w:szCs w:val="24"/>
        </w:rPr>
        <w:t>E</w:t>
      </w:r>
      <w:r>
        <w:rPr>
          <w:rFonts w:ascii="Arial" w:hAnsi="Arial" w:cs="Arial"/>
          <w:sz w:val="24"/>
          <w:szCs w:val="24"/>
        </w:rPr>
        <w:t>ntendemos que existe una oportunidad para que la ASR y las cooperativas colab</w:t>
      </w:r>
      <w:r w:rsidR="00710370">
        <w:rPr>
          <w:rFonts w:ascii="Arial" w:hAnsi="Arial" w:cs="Arial"/>
          <w:sz w:val="24"/>
          <w:szCs w:val="24"/>
        </w:rPr>
        <w:t>oren, si</w:t>
      </w:r>
      <w:r w:rsidR="00686962">
        <w:rPr>
          <w:rFonts w:ascii="Arial" w:hAnsi="Arial" w:cs="Arial"/>
          <w:sz w:val="24"/>
          <w:szCs w:val="24"/>
        </w:rPr>
        <w:t>empre y cuando</w:t>
      </w:r>
      <w:r>
        <w:rPr>
          <w:rFonts w:ascii="Arial" w:hAnsi="Arial" w:cs="Arial"/>
          <w:sz w:val="24"/>
          <w:szCs w:val="24"/>
        </w:rPr>
        <w:t xml:space="preserve"> la ASR reciba </w:t>
      </w:r>
      <w:r w:rsidR="00686962">
        <w:rPr>
          <w:rFonts w:ascii="Arial" w:hAnsi="Arial" w:cs="Arial"/>
          <w:sz w:val="24"/>
          <w:szCs w:val="24"/>
        </w:rPr>
        <w:t>un</w:t>
      </w:r>
      <w:r>
        <w:rPr>
          <w:rFonts w:ascii="Arial" w:hAnsi="Arial" w:cs="Arial"/>
          <w:sz w:val="24"/>
          <w:szCs w:val="24"/>
        </w:rPr>
        <w:t>a</w:t>
      </w:r>
      <w:r w:rsidR="00686962">
        <w:rPr>
          <w:rFonts w:ascii="Arial" w:hAnsi="Arial" w:cs="Arial"/>
          <w:sz w:val="24"/>
          <w:szCs w:val="24"/>
        </w:rPr>
        <w:t xml:space="preserve"> compensación por los servicios rendidos a éstas</w:t>
      </w:r>
      <w:r>
        <w:rPr>
          <w:rFonts w:ascii="Arial" w:hAnsi="Arial" w:cs="Arial"/>
          <w:sz w:val="24"/>
          <w:szCs w:val="24"/>
        </w:rPr>
        <w:t xml:space="preserve">. </w:t>
      </w:r>
    </w:p>
    <w:p w:rsidR="00456543" w:rsidRDefault="00456543" w:rsidP="00165EB8">
      <w:pPr>
        <w:spacing w:after="0"/>
        <w:jc w:val="both"/>
        <w:rPr>
          <w:rFonts w:ascii="Arial" w:hAnsi="Arial" w:cs="Arial"/>
          <w:sz w:val="24"/>
          <w:szCs w:val="24"/>
        </w:rPr>
      </w:pPr>
    </w:p>
    <w:p w:rsidR="00456543" w:rsidRPr="00165EB8" w:rsidRDefault="00456543" w:rsidP="00165EB8">
      <w:pPr>
        <w:spacing w:after="0"/>
        <w:jc w:val="both"/>
        <w:rPr>
          <w:rFonts w:ascii="Arial" w:hAnsi="Arial" w:cs="Arial"/>
          <w:sz w:val="24"/>
          <w:szCs w:val="24"/>
        </w:rPr>
      </w:pPr>
    </w:p>
    <w:p w:rsidR="00B62B15" w:rsidRDefault="00B62B15" w:rsidP="00B62B15">
      <w:pPr>
        <w:pStyle w:val="ListParagraph"/>
        <w:spacing w:after="0"/>
        <w:ind w:left="1080"/>
        <w:jc w:val="both"/>
        <w:rPr>
          <w:rFonts w:ascii="Arial" w:hAnsi="Arial" w:cs="Arial"/>
          <w:b/>
          <w:sz w:val="24"/>
          <w:szCs w:val="24"/>
        </w:rPr>
      </w:pPr>
    </w:p>
    <w:p w:rsidR="00862C8F" w:rsidRDefault="00862C8F" w:rsidP="00862C8F">
      <w:pPr>
        <w:spacing w:after="0"/>
        <w:ind w:left="720"/>
        <w:jc w:val="both"/>
        <w:rPr>
          <w:rFonts w:ascii="Arial" w:hAnsi="Arial" w:cs="Arial"/>
          <w:sz w:val="24"/>
          <w:szCs w:val="24"/>
        </w:rPr>
      </w:pPr>
    </w:p>
    <w:p w:rsidR="009860F4" w:rsidRDefault="009860F4" w:rsidP="006425F1">
      <w:pPr>
        <w:spacing w:after="0"/>
        <w:rPr>
          <w:rFonts w:ascii="Arial" w:hAnsi="Arial" w:cs="Arial"/>
        </w:rPr>
      </w:pPr>
    </w:p>
    <w:sectPr w:rsidR="009860F4" w:rsidSect="00C77A2F">
      <w:headerReference w:type="default" r:id="rId11"/>
      <w:footerReference w:type="defaul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07" w:rsidRDefault="00823507" w:rsidP="006425F1">
      <w:pPr>
        <w:spacing w:after="0" w:line="240" w:lineRule="auto"/>
      </w:pPr>
      <w:r>
        <w:separator/>
      </w:r>
    </w:p>
  </w:endnote>
  <w:endnote w:type="continuationSeparator" w:id="0">
    <w:p w:rsidR="00823507" w:rsidRDefault="00823507" w:rsidP="0064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873"/>
      <w:docPartObj>
        <w:docPartGallery w:val="Page Numbers (Bottom of Page)"/>
        <w:docPartUnique/>
      </w:docPartObj>
    </w:sdtPr>
    <w:sdtEndPr/>
    <w:sdtContent>
      <w:p w:rsidR="00142119" w:rsidRDefault="00142119">
        <w:pPr>
          <w:pStyle w:val="Footer"/>
          <w:jc w:val="center"/>
        </w:pPr>
        <w:r>
          <w:fldChar w:fldCharType="begin"/>
        </w:r>
        <w:r>
          <w:instrText xml:space="preserve"> PAGE   \* MERGEFORMAT </w:instrText>
        </w:r>
        <w:r>
          <w:fldChar w:fldCharType="separate"/>
        </w:r>
        <w:r w:rsidR="004A1AF9">
          <w:rPr>
            <w:noProof/>
          </w:rPr>
          <w:t>4</w:t>
        </w:r>
        <w:r>
          <w:rPr>
            <w:noProof/>
          </w:rPr>
          <w:fldChar w:fldCharType="end"/>
        </w:r>
      </w:p>
    </w:sdtContent>
  </w:sdt>
  <w:p w:rsidR="00142119" w:rsidRDefault="001421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07" w:rsidRDefault="00823507" w:rsidP="006425F1">
      <w:pPr>
        <w:spacing w:after="0" w:line="240" w:lineRule="auto"/>
      </w:pPr>
      <w:r>
        <w:separator/>
      </w:r>
    </w:p>
  </w:footnote>
  <w:footnote w:type="continuationSeparator" w:id="0">
    <w:p w:rsidR="00823507" w:rsidRDefault="00823507" w:rsidP="00642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9" w:rsidRDefault="00142119">
    <w:pPr>
      <w:pStyle w:val="Header"/>
    </w:pPr>
    <w:r>
      <w:rPr>
        <w:noProof/>
        <w:lang w:val="en-US"/>
      </w:rPr>
      <w:drawing>
        <wp:inline distT="0" distB="0" distL="0" distR="0" wp14:anchorId="32EFEA85" wp14:editId="3904B87A">
          <wp:extent cx="2102259" cy="685800"/>
          <wp:effectExtent l="25400" t="0" r="5941" b="0"/>
          <wp:docPr id="1" name="Picture 1" descr="iMac24:Users:alvaro:Desktop:Logo-ELA-Papel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4:Users:alvaro:Desktop:Logo-ELA-Papel Carta.jpg"/>
                  <pic:cNvPicPr>
                    <a:picLocks noChangeAspect="1" noChangeArrowheads="1"/>
                  </pic:cNvPicPr>
                </pic:nvPicPr>
                <pic:blipFill>
                  <a:blip r:embed="rId1"/>
                  <a:srcRect/>
                  <a:stretch>
                    <a:fillRect/>
                  </a:stretch>
                </pic:blipFill>
                <pic:spPr bwMode="auto">
                  <a:xfrm>
                    <a:off x="0" y="0"/>
                    <a:ext cx="2103848" cy="6863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136"/>
    <w:multiLevelType w:val="hybridMultilevel"/>
    <w:tmpl w:val="9B36DB1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327C8"/>
    <w:multiLevelType w:val="hybridMultilevel"/>
    <w:tmpl w:val="94F02814"/>
    <w:lvl w:ilvl="0" w:tplc="29BC780A">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1DC1623"/>
    <w:multiLevelType w:val="hybridMultilevel"/>
    <w:tmpl w:val="BDE0E8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42FAE"/>
    <w:multiLevelType w:val="hybridMultilevel"/>
    <w:tmpl w:val="EFB2454E"/>
    <w:lvl w:ilvl="0" w:tplc="2F9CE398">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12322D8C"/>
    <w:multiLevelType w:val="hybridMultilevel"/>
    <w:tmpl w:val="84342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B73AA"/>
    <w:multiLevelType w:val="hybridMultilevel"/>
    <w:tmpl w:val="3790D670"/>
    <w:lvl w:ilvl="0" w:tplc="88CEDCB8">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16FB4118"/>
    <w:multiLevelType w:val="hybridMultilevel"/>
    <w:tmpl w:val="4FC81664"/>
    <w:lvl w:ilvl="0" w:tplc="C3A4EC5E">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197D79D6"/>
    <w:multiLevelType w:val="hybridMultilevel"/>
    <w:tmpl w:val="1FB6F2E0"/>
    <w:lvl w:ilvl="0" w:tplc="B7864896">
      <w:start w:val="1"/>
      <w:numFmt w:val="upperRoman"/>
      <w:lvlText w:val="%1."/>
      <w:lvlJc w:val="left"/>
      <w:pPr>
        <w:ind w:left="720" w:hanging="72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8" w15:restartNumberingAfterBreak="0">
    <w:nsid w:val="19F16963"/>
    <w:multiLevelType w:val="hybridMultilevel"/>
    <w:tmpl w:val="722A4400"/>
    <w:lvl w:ilvl="0" w:tplc="500A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A392F9F"/>
    <w:multiLevelType w:val="hybridMultilevel"/>
    <w:tmpl w:val="4AB21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444C1"/>
    <w:multiLevelType w:val="hybridMultilevel"/>
    <w:tmpl w:val="A2063346"/>
    <w:lvl w:ilvl="0" w:tplc="7F0212B2">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1E2F18E8"/>
    <w:multiLevelType w:val="hybridMultilevel"/>
    <w:tmpl w:val="D75A4FA2"/>
    <w:lvl w:ilvl="0" w:tplc="C7B280A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2646022B"/>
    <w:multiLevelType w:val="hybridMultilevel"/>
    <w:tmpl w:val="DBC8187C"/>
    <w:lvl w:ilvl="0" w:tplc="317E34F4">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29EC025B"/>
    <w:multiLevelType w:val="hybridMultilevel"/>
    <w:tmpl w:val="3BF20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5D4CAA"/>
    <w:multiLevelType w:val="hybridMultilevel"/>
    <w:tmpl w:val="ABB0FA88"/>
    <w:lvl w:ilvl="0" w:tplc="08D074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75F6B"/>
    <w:multiLevelType w:val="hybridMultilevel"/>
    <w:tmpl w:val="1E3C51A4"/>
    <w:lvl w:ilvl="0" w:tplc="F45E3FB2">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6" w15:restartNumberingAfterBreak="0">
    <w:nsid w:val="3A75641A"/>
    <w:multiLevelType w:val="hybridMultilevel"/>
    <w:tmpl w:val="72C670A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431B56"/>
    <w:multiLevelType w:val="hybridMultilevel"/>
    <w:tmpl w:val="F26E07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B2FB4"/>
    <w:multiLevelType w:val="hybridMultilevel"/>
    <w:tmpl w:val="851C191E"/>
    <w:lvl w:ilvl="0" w:tplc="A8BA5C6E">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3FE037A5"/>
    <w:multiLevelType w:val="hybridMultilevel"/>
    <w:tmpl w:val="FB8E1F1E"/>
    <w:lvl w:ilvl="0" w:tplc="500A0015">
      <w:start w:val="1"/>
      <w:numFmt w:val="upperLetter"/>
      <w:lvlText w:val="%1."/>
      <w:lvlJc w:val="left"/>
      <w:pPr>
        <w:ind w:left="1068" w:hanging="360"/>
      </w:pPr>
    </w:lvl>
    <w:lvl w:ilvl="1" w:tplc="0409000F">
      <w:start w:val="1"/>
      <w:numFmt w:val="decimal"/>
      <w:lvlText w:val="%2."/>
      <w:lvlJc w:val="left"/>
      <w:pPr>
        <w:ind w:left="1788" w:hanging="360"/>
      </w:pPr>
    </w:lvl>
    <w:lvl w:ilvl="2" w:tplc="500A001B">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0" w15:restartNumberingAfterBreak="0">
    <w:nsid w:val="408744C8"/>
    <w:multiLevelType w:val="hybridMultilevel"/>
    <w:tmpl w:val="E632B68E"/>
    <w:lvl w:ilvl="0" w:tplc="500A0001">
      <w:start w:val="1"/>
      <w:numFmt w:val="bullet"/>
      <w:lvlText w:val=""/>
      <w:lvlJc w:val="left"/>
      <w:pPr>
        <w:ind w:left="1080" w:hanging="720"/>
      </w:pPr>
      <w:rPr>
        <w:rFonts w:ascii="Symbol" w:hAnsi="Symbol"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40E5616D"/>
    <w:multiLevelType w:val="hybridMultilevel"/>
    <w:tmpl w:val="3F748E66"/>
    <w:lvl w:ilvl="0" w:tplc="822E9262">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47DF7850"/>
    <w:multiLevelType w:val="hybridMultilevel"/>
    <w:tmpl w:val="89842C66"/>
    <w:lvl w:ilvl="0" w:tplc="3A925998">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4C157A91"/>
    <w:multiLevelType w:val="hybridMultilevel"/>
    <w:tmpl w:val="BC92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437C"/>
    <w:multiLevelType w:val="hybridMultilevel"/>
    <w:tmpl w:val="6960010E"/>
    <w:lvl w:ilvl="0" w:tplc="500A0015">
      <w:start w:val="1"/>
      <w:numFmt w:val="upperLetter"/>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5" w15:restartNumberingAfterBreak="0">
    <w:nsid w:val="52664CF6"/>
    <w:multiLevelType w:val="hybridMultilevel"/>
    <w:tmpl w:val="706A2AFC"/>
    <w:lvl w:ilvl="0" w:tplc="73FC1120">
      <w:start w:val="1"/>
      <w:numFmt w:val="decimal"/>
      <w:lvlText w:val="%1."/>
      <w:lvlJc w:val="left"/>
      <w:pPr>
        <w:ind w:left="1776" w:hanging="360"/>
      </w:pPr>
      <w:rPr>
        <w:rFonts w:hint="default"/>
      </w:r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26" w15:restartNumberingAfterBreak="0">
    <w:nsid w:val="545C259F"/>
    <w:multiLevelType w:val="hybridMultilevel"/>
    <w:tmpl w:val="FE3E5974"/>
    <w:lvl w:ilvl="0" w:tplc="2D70796A">
      <w:start w:val="1"/>
      <w:numFmt w:val="upperLetter"/>
      <w:lvlText w:val="%1."/>
      <w:lvlJc w:val="left"/>
      <w:pPr>
        <w:ind w:left="990" w:hanging="360"/>
      </w:pPr>
      <w:rPr>
        <w:rFonts w:asciiTheme="minorHAnsi" w:eastAsia="Calibri" w:hAnsiTheme="minorHAnsi" w:cstheme="minorHAns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67E64A6"/>
    <w:multiLevelType w:val="hybridMultilevel"/>
    <w:tmpl w:val="BDB8C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040A1A"/>
    <w:multiLevelType w:val="hybridMultilevel"/>
    <w:tmpl w:val="6AE2DE76"/>
    <w:lvl w:ilvl="0" w:tplc="9E640B58">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5E3725BA"/>
    <w:multiLevelType w:val="hybridMultilevel"/>
    <w:tmpl w:val="AEFA2162"/>
    <w:lvl w:ilvl="0" w:tplc="0409000F">
      <w:start w:val="1"/>
      <w:numFmt w:val="decimal"/>
      <w:lvlText w:val="%1."/>
      <w:lvlJc w:val="left"/>
      <w:pPr>
        <w:ind w:left="1080" w:hanging="360"/>
      </w:pPr>
    </w:lvl>
    <w:lvl w:ilvl="1" w:tplc="351240D6">
      <w:start w:val="1"/>
      <w:numFmt w:val="lowerLetter"/>
      <w:lvlText w:val="%2."/>
      <w:lvlJc w:val="left"/>
      <w:pPr>
        <w:ind w:left="1815" w:hanging="375"/>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4C327C"/>
    <w:multiLevelType w:val="hybridMultilevel"/>
    <w:tmpl w:val="F2787F5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03921"/>
    <w:multiLevelType w:val="hybridMultilevel"/>
    <w:tmpl w:val="DF88EAC4"/>
    <w:lvl w:ilvl="0" w:tplc="EE2EDF3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15:restartNumberingAfterBreak="0">
    <w:nsid w:val="662276C4"/>
    <w:multiLevelType w:val="hybridMultilevel"/>
    <w:tmpl w:val="BAFE35F6"/>
    <w:lvl w:ilvl="0" w:tplc="1F4E5D4C">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672E2479"/>
    <w:multiLevelType w:val="hybridMultilevel"/>
    <w:tmpl w:val="B7F858F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96A3E"/>
    <w:multiLevelType w:val="hybridMultilevel"/>
    <w:tmpl w:val="394A42B0"/>
    <w:lvl w:ilvl="0" w:tplc="500A0013">
      <w:start w:val="1"/>
      <w:numFmt w:val="upperRoman"/>
      <w:lvlText w:val="%1."/>
      <w:lvlJc w:val="right"/>
      <w:pPr>
        <w:ind w:left="360" w:hanging="360"/>
      </w:pPr>
    </w:lvl>
    <w:lvl w:ilvl="1" w:tplc="500A0015">
      <w:start w:val="1"/>
      <w:numFmt w:val="upperLetter"/>
      <w:lvlText w:val="%2."/>
      <w:lvlJc w:val="left"/>
      <w:pPr>
        <w:ind w:left="1080" w:hanging="360"/>
      </w:pPr>
    </w:lvl>
    <w:lvl w:ilvl="2" w:tplc="500A001B">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5" w15:restartNumberingAfterBreak="0">
    <w:nsid w:val="6B556156"/>
    <w:multiLevelType w:val="hybridMultilevel"/>
    <w:tmpl w:val="E6422A2C"/>
    <w:lvl w:ilvl="0" w:tplc="500A0015">
      <w:start w:val="1"/>
      <w:numFmt w:val="upperLetter"/>
      <w:lvlText w:val="%1."/>
      <w:lvlJc w:val="left"/>
      <w:pPr>
        <w:ind w:left="1068" w:hanging="360"/>
      </w:p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36" w15:restartNumberingAfterBreak="0">
    <w:nsid w:val="6C6A77C0"/>
    <w:multiLevelType w:val="hybridMultilevel"/>
    <w:tmpl w:val="0AEAECB4"/>
    <w:lvl w:ilvl="0" w:tplc="D1B0CA0E">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15:restartNumberingAfterBreak="0">
    <w:nsid w:val="72323F74"/>
    <w:multiLevelType w:val="hybridMultilevel"/>
    <w:tmpl w:val="053A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139F0"/>
    <w:multiLevelType w:val="hybridMultilevel"/>
    <w:tmpl w:val="E91C6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3424BB"/>
    <w:multiLevelType w:val="hybridMultilevel"/>
    <w:tmpl w:val="C4DA5B10"/>
    <w:lvl w:ilvl="0" w:tplc="C0BCA1E2">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7"/>
  </w:num>
  <w:num w:numId="2">
    <w:abstractNumId w:val="34"/>
  </w:num>
  <w:num w:numId="3">
    <w:abstractNumId w:val="35"/>
  </w:num>
  <w:num w:numId="4">
    <w:abstractNumId w:val="19"/>
  </w:num>
  <w:num w:numId="5">
    <w:abstractNumId w:val="24"/>
  </w:num>
  <w:num w:numId="6">
    <w:abstractNumId w:val="25"/>
  </w:num>
  <w:num w:numId="7">
    <w:abstractNumId w:val="9"/>
  </w:num>
  <w:num w:numId="8">
    <w:abstractNumId w:val="6"/>
  </w:num>
  <w:num w:numId="9">
    <w:abstractNumId w:val="21"/>
  </w:num>
  <w:num w:numId="10">
    <w:abstractNumId w:val="11"/>
  </w:num>
  <w:num w:numId="11">
    <w:abstractNumId w:val="1"/>
  </w:num>
  <w:num w:numId="12">
    <w:abstractNumId w:val="15"/>
  </w:num>
  <w:num w:numId="13">
    <w:abstractNumId w:val="10"/>
  </w:num>
  <w:num w:numId="14">
    <w:abstractNumId w:val="18"/>
  </w:num>
  <w:num w:numId="15">
    <w:abstractNumId w:val="32"/>
  </w:num>
  <w:num w:numId="16">
    <w:abstractNumId w:val="28"/>
  </w:num>
  <w:num w:numId="17">
    <w:abstractNumId w:val="39"/>
  </w:num>
  <w:num w:numId="18">
    <w:abstractNumId w:val="31"/>
  </w:num>
  <w:num w:numId="19">
    <w:abstractNumId w:val="22"/>
  </w:num>
  <w:num w:numId="20">
    <w:abstractNumId w:val="36"/>
  </w:num>
  <w:num w:numId="21">
    <w:abstractNumId w:val="12"/>
  </w:num>
  <w:num w:numId="22">
    <w:abstractNumId w:val="5"/>
  </w:num>
  <w:num w:numId="23">
    <w:abstractNumId w:val="3"/>
  </w:num>
  <w:num w:numId="24">
    <w:abstractNumId w:val="8"/>
  </w:num>
  <w:num w:numId="25">
    <w:abstractNumId w:val="2"/>
  </w:num>
  <w:num w:numId="26">
    <w:abstractNumId w:val="26"/>
  </w:num>
  <w:num w:numId="27">
    <w:abstractNumId w:val="20"/>
  </w:num>
  <w:num w:numId="28">
    <w:abstractNumId w:val="0"/>
  </w:num>
  <w:num w:numId="29">
    <w:abstractNumId w:val="29"/>
  </w:num>
  <w:num w:numId="30">
    <w:abstractNumId w:val="37"/>
  </w:num>
  <w:num w:numId="31">
    <w:abstractNumId w:val="17"/>
  </w:num>
  <w:num w:numId="32">
    <w:abstractNumId w:val="23"/>
  </w:num>
  <w:num w:numId="33">
    <w:abstractNumId w:val="16"/>
  </w:num>
  <w:num w:numId="34">
    <w:abstractNumId w:val="4"/>
  </w:num>
  <w:num w:numId="35">
    <w:abstractNumId w:val="14"/>
  </w:num>
  <w:num w:numId="36">
    <w:abstractNumId w:val="33"/>
  </w:num>
  <w:num w:numId="37">
    <w:abstractNumId w:val="27"/>
  </w:num>
  <w:num w:numId="38">
    <w:abstractNumId w:val="30"/>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F1"/>
    <w:rsid w:val="000363F1"/>
    <w:rsid w:val="000375FB"/>
    <w:rsid w:val="00044DF9"/>
    <w:rsid w:val="000B0796"/>
    <w:rsid w:val="000E0240"/>
    <w:rsid w:val="000F2D38"/>
    <w:rsid w:val="00142119"/>
    <w:rsid w:val="00143010"/>
    <w:rsid w:val="001556E9"/>
    <w:rsid w:val="00165EB8"/>
    <w:rsid w:val="00190B90"/>
    <w:rsid w:val="00194154"/>
    <w:rsid w:val="00206703"/>
    <w:rsid w:val="002241FF"/>
    <w:rsid w:val="00231B4F"/>
    <w:rsid w:val="00234EDE"/>
    <w:rsid w:val="002415B7"/>
    <w:rsid w:val="00296914"/>
    <w:rsid w:val="002F2314"/>
    <w:rsid w:val="002F65B6"/>
    <w:rsid w:val="002F68FD"/>
    <w:rsid w:val="00306205"/>
    <w:rsid w:val="00332BEB"/>
    <w:rsid w:val="00384690"/>
    <w:rsid w:val="003A547D"/>
    <w:rsid w:val="003B3C61"/>
    <w:rsid w:val="003D162B"/>
    <w:rsid w:val="003F7D5D"/>
    <w:rsid w:val="00402D3A"/>
    <w:rsid w:val="00447981"/>
    <w:rsid w:val="00456543"/>
    <w:rsid w:val="0046404D"/>
    <w:rsid w:val="004656B7"/>
    <w:rsid w:val="004A1AF9"/>
    <w:rsid w:val="004A5F19"/>
    <w:rsid w:val="004D1538"/>
    <w:rsid w:val="004F27D3"/>
    <w:rsid w:val="004F311E"/>
    <w:rsid w:val="005265D2"/>
    <w:rsid w:val="00544C9E"/>
    <w:rsid w:val="00566E30"/>
    <w:rsid w:val="0058568B"/>
    <w:rsid w:val="00593594"/>
    <w:rsid w:val="005952A7"/>
    <w:rsid w:val="00595664"/>
    <w:rsid w:val="00607C51"/>
    <w:rsid w:val="0062029B"/>
    <w:rsid w:val="006224C8"/>
    <w:rsid w:val="006425F1"/>
    <w:rsid w:val="00657F55"/>
    <w:rsid w:val="00667FF1"/>
    <w:rsid w:val="00680235"/>
    <w:rsid w:val="00686962"/>
    <w:rsid w:val="006C2610"/>
    <w:rsid w:val="006D1479"/>
    <w:rsid w:val="006E2528"/>
    <w:rsid w:val="00710370"/>
    <w:rsid w:val="00721093"/>
    <w:rsid w:val="00732516"/>
    <w:rsid w:val="007B14B6"/>
    <w:rsid w:val="007C1C18"/>
    <w:rsid w:val="007D0781"/>
    <w:rsid w:val="007E7729"/>
    <w:rsid w:val="007F4811"/>
    <w:rsid w:val="0081261B"/>
    <w:rsid w:val="008203DE"/>
    <w:rsid w:val="00823507"/>
    <w:rsid w:val="008241F3"/>
    <w:rsid w:val="00850029"/>
    <w:rsid w:val="00862C8F"/>
    <w:rsid w:val="008750CA"/>
    <w:rsid w:val="008B2BDA"/>
    <w:rsid w:val="008E751C"/>
    <w:rsid w:val="00935426"/>
    <w:rsid w:val="00937D79"/>
    <w:rsid w:val="00951378"/>
    <w:rsid w:val="009860F4"/>
    <w:rsid w:val="00996A9B"/>
    <w:rsid w:val="009C0569"/>
    <w:rsid w:val="009C50BF"/>
    <w:rsid w:val="009D3A9C"/>
    <w:rsid w:val="00A013DD"/>
    <w:rsid w:val="00A06654"/>
    <w:rsid w:val="00A1383A"/>
    <w:rsid w:val="00A171BA"/>
    <w:rsid w:val="00A22E55"/>
    <w:rsid w:val="00A2628C"/>
    <w:rsid w:val="00A32FCC"/>
    <w:rsid w:val="00A72731"/>
    <w:rsid w:val="00A957A1"/>
    <w:rsid w:val="00A9671E"/>
    <w:rsid w:val="00B003DD"/>
    <w:rsid w:val="00B52DC1"/>
    <w:rsid w:val="00B55EE6"/>
    <w:rsid w:val="00B60457"/>
    <w:rsid w:val="00B62B15"/>
    <w:rsid w:val="00B67AE8"/>
    <w:rsid w:val="00BC1C36"/>
    <w:rsid w:val="00BE36D2"/>
    <w:rsid w:val="00C0085F"/>
    <w:rsid w:val="00C21A98"/>
    <w:rsid w:val="00C77A2F"/>
    <w:rsid w:val="00C8232F"/>
    <w:rsid w:val="00C8487E"/>
    <w:rsid w:val="00CA27EF"/>
    <w:rsid w:val="00CA5521"/>
    <w:rsid w:val="00CB18F3"/>
    <w:rsid w:val="00CC4A0F"/>
    <w:rsid w:val="00CC6A89"/>
    <w:rsid w:val="00CE053E"/>
    <w:rsid w:val="00D14EBA"/>
    <w:rsid w:val="00D31B3C"/>
    <w:rsid w:val="00D54E27"/>
    <w:rsid w:val="00D56A2D"/>
    <w:rsid w:val="00D60AC8"/>
    <w:rsid w:val="00DA2367"/>
    <w:rsid w:val="00DA7063"/>
    <w:rsid w:val="00DC76CA"/>
    <w:rsid w:val="00DD6433"/>
    <w:rsid w:val="00DE7428"/>
    <w:rsid w:val="00DF1C04"/>
    <w:rsid w:val="00DF32BD"/>
    <w:rsid w:val="00E16DFB"/>
    <w:rsid w:val="00E20852"/>
    <w:rsid w:val="00E453A3"/>
    <w:rsid w:val="00E54F42"/>
    <w:rsid w:val="00E620D6"/>
    <w:rsid w:val="00E62A7B"/>
    <w:rsid w:val="00E81F61"/>
    <w:rsid w:val="00ED1615"/>
    <w:rsid w:val="00ED316F"/>
    <w:rsid w:val="00F4464B"/>
    <w:rsid w:val="00F527DE"/>
    <w:rsid w:val="00F67C63"/>
    <w:rsid w:val="00F76D9A"/>
    <w:rsid w:val="00F860FE"/>
    <w:rsid w:val="00F8747E"/>
    <w:rsid w:val="00F940F3"/>
    <w:rsid w:val="00F97B07"/>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E95A5"/>
  <w15:docId w15:val="{A0154B02-17A4-488F-8996-E1F9EDA3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F1"/>
    <w:rPr>
      <w:rFonts w:ascii="Tahoma" w:hAnsi="Tahoma" w:cs="Tahoma"/>
      <w:sz w:val="16"/>
      <w:szCs w:val="16"/>
    </w:rPr>
  </w:style>
  <w:style w:type="paragraph" w:styleId="Header">
    <w:name w:val="header"/>
    <w:basedOn w:val="Normal"/>
    <w:link w:val="HeaderChar"/>
    <w:uiPriority w:val="99"/>
    <w:unhideWhenUsed/>
    <w:rsid w:val="00642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F1"/>
  </w:style>
  <w:style w:type="paragraph" w:styleId="Footer">
    <w:name w:val="footer"/>
    <w:basedOn w:val="Normal"/>
    <w:link w:val="FooterChar"/>
    <w:uiPriority w:val="99"/>
    <w:unhideWhenUsed/>
    <w:rsid w:val="0064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F1"/>
  </w:style>
  <w:style w:type="paragraph" w:styleId="ListParagraph">
    <w:name w:val="List Paragraph"/>
    <w:basedOn w:val="Normal"/>
    <w:uiPriority w:val="34"/>
    <w:qFormat/>
    <w:rsid w:val="006425F1"/>
    <w:pPr>
      <w:ind w:left="720"/>
      <w:contextualSpacing/>
    </w:pPr>
  </w:style>
  <w:style w:type="character" w:customStyle="1" w:styleId="Heading1Char">
    <w:name w:val="Heading 1 Char"/>
    <w:basedOn w:val="DefaultParagraphFont"/>
    <w:link w:val="Heading1"/>
    <w:uiPriority w:val="9"/>
    <w:rsid w:val="008500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0029"/>
    <w:pPr>
      <w:outlineLvl w:val="9"/>
    </w:pPr>
    <w:rPr>
      <w:lang w:val="en-US"/>
    </w:rPr>
  </w:style>
  <w:style w:type="paragraph" w:styleId="TOC2">
    <w:name w:val="toc 2"/>
    <w:basedOn w:val="Normal"/>
    <w:next w:val="Normal"/>
    <w:autoRedefine/>
    <w:uiPriority w:val="39"/>
    <w:unhideWhenUsed/>
    <w:qFormat/>
    <w:rsid w:val="00850029"/>
    <w:pPr>
      <w:spacing w:after="100"/>
    </w:pPr>
    <w:rPr>
      <w:rFonts w:eastAsiaTheme="minorEastAsia"/>
      <w:lang w:val="en-US"/>
    </w:rPr>
  </w:style>
  <w:style w:type="paragraph" w:styleId="TOC1">
    <w:name w:val="toc 1"/>
    <w:basedOn w:val="Normal"/>
    <w:next w:val="Normal"/>
    <w:autoRedefine/>
    <w:uiPriority w:val="39"/>
    <w:unhideWhenUsed/>
    <w:qFormat/>
    <w:rsid w:val="00850029"/>
    <w:pPr>
      <w:spacing w:after="100"/>
    </w:pPr>
    <w:rPr>
      <w:rFonts w:eastAsiaTheme="minorEastAsia"/>
    </w:rPr>
  </w:style>
  <w:style w:type="paragraph" w:styleId="TOC3">
    <w:name w:val="toc 3"/>
    <w:basedOn w:val="Normal"/>
    <w:next w:val="Normal"/>
    <w:autoRedefine/>
    <w:uiPriority w:val="39"/>
    <w:unhideWhenUsed/>
    <w:qFormat/>
    <w:rsid w:val="00850029"/>
    <w:pPr>
      <w:spacing w:after="100"/>
    </w:pPr>
    <w:rPr>
      <w:rFonts w:eastAsiaTheme="minorEastAsia"/>
      <w:lang w:val="en-US"/>
    </w:rPr>
  </w:style>
  <w:style w:type="paragraph" w:styleId="Title">
    <w:name w:val="Title"/>
    <w:basedOn w:val="Normal"/>
    <w:link w:val="TitleChar"/>
    <w:qFormat/>
    <w:rsid w:val="009860F4"/>
    <w:pPr>
      <w:spacing w:after="0" w:line="240" w:lineRule="auto"/>
      <w:jc w:val="center"/>
    </w:pPr>
    <w:rPr>
      <w:rFonts w:ascii="Tahoma" w:eastAsia="Times New Roman" w:hAnsi="Tahoma" w:cs="Tahoma"/>
      <w:sz w:val="32"/>
      <w:szCs w:val="24"/>
      <w:lang w:val="en-US"/>
    </w:rPr>
  </w:style>
  <w:style w:type="character" w:customStyle="1" w:styleId="TitleChar">
    <w:name w:val="Title Char"/>
    <w:basedOn w:val="DefaultParagraphFont"/>
    <w:link w:val="Title"/>
    <w:rsid w:val="009860F4"/>
    <w:rPr>
      <w:rFonts w:ascii="Tahoma" w:eastAsia="Times New Roman" w:hAnsi="Tahoma" w:cs="Tahoma"/>
      <w:sz w:val="32"/>
      <w:szCs w:val="24"/>
      <w:lang w:val="en-US"/>
    </w:rPr>
  </w:style>
  <w:style w:type="paragraph" w:styleId="BodyText">
    <w:name w:val="Body Text"/>
    <w:basedOn w:val="Normal"/>
    <w:link w:val="BodyTextChar"/>
    <w:semiHidden/>
    <w:rsid w:val="00862C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62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83019">
      <w:bodyDiv w:val="1"/>
      <w:marLeft w:val="0"/>
      <w:marRight w:val="0"/>
      <w:marTop w:val="0"/>
      <w:marBottom w:val="0"/>
      <w:divBdr>
        <w:top w:val="none" w:sz="0" w:space="0" w:color="auto"/>
        <w:left w:val="none" w:sz="0" w:space="0" w:color="auto"/>
        <w:bottom w:val="none" w:sz="0" w:space="0" w:color="auto"/>
        <w:right w:val="none" w:sz="0" w:space="0" w:color="auto"/>
      </w:divBdr>
    </w:div>
    <w:div w:id="14727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Clientes Atendidos Enero 2013 - Agosto</a:t>
            </a:r>
            <a:r>
              <a:rPr lang="en-US" baseline="0"/>
              <a:t> </a:t>
            </a:r>
            <a:r>
              <a:rPr lang="en-US"/>
              <a:t>2016</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3DB8-4E64-A563-1ACF46DF4271}"/>
              </c:ext>
            </c:extLst>
          </c:dPt>
          <c:dPt>
            <c:idx val="1"/>
            <c:invertIfNegative val="0"/>
            <c:bubble3D val="0"/>
            <c:spPr>
              <a:solidFill>
                <a:schemeClr val="accent4"/>
              </a:solidFill>
            </c:spPr>
            <c:extLst>
              <c:ext xmlns:c16="http://schemas.microsoft.com/office/drawing/2014/chart" uri="{C3380CC4-5D6E-409C-BE32-E72D297353CC}">
                <c16:uniqueId val="{00000003-3DB8-4E64-A563-1ACF46DF4271}"/>
              </c:ext>
            </c:extLst>
          </c:dPt>
          <c:dPt>
            <c:idx val="2"/>
            <c:invertIfNegative val="0"/>
            <c:bubble3D val="0"/>
            <c:spPr>
              <a:solidFill>
                <a:srgbClr val="FFC000"/>
              </a:solidFill>
            </c:spPr>
            <c:extLst>
              <c:ext xmlns:c16="http://schemas.microsoft.com/office/drawing/2014/chart" uri="{C3380CC4-5D6E-409C-BE32-E72D297353CC}">
                <c16:uniqueId val="{00000005-3DB8-4E64-A563-1ACF46DF4271}"/>
              </c:ext>
            </c:extLst>
          </c:dPt>
          <c:dPt>
            <c:idx val="3"/>
            <c:invertIfNegative val="0"/>
            <c:bubble3D val="0"/>
            <c:spPr>
              <a:solidFill>
                <a:schemeClr val="accent5">
                  <a:lumMod val="50000"/>
                </a:schemeClr>
              </a:solidFill>
            </c:spPr>
            <c:extLst>
              <c:ext xmlns:c16="http://schemas.microsoft.com/office/drawing/2014/chart" uri="{C3380CC4-5D6E-409C-BE32-E72D297353CC}">
                <c16:uniqueId val="{00000007-3DB8-4E64-A563-1ACF46DF4271}"/>
              </c:ext>
            </c:extLst>
          </c:dPt>
          <c:dPt>
            <c:idx val="4"/>
            <c:invertIfNegative val="0"/>
            <c:bubble3D val="0"/>
            <c:spPr>
              <a:solidFill>
                <a:schemeClr val="accent2"/>
              </a:solidFill>
            </c:spPr>
            <c:extLst>
              <c:ext xmlns:c16="http://schemas.microsoft.com/office/drawing/2014/chart" uri="{C3380CC4-5D6E-409C-BE32-E72D297353CC}">
                <c16:uniqueId val="{00000009-3DB8-4E64-A563-1ACF46DF427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 Juan</c:v>
                </c:pt>
                <c:pt idx="1">
                  <c:v>Mayaguez</c:v>
                </c:pt>
                <c:pt idx="2">
                  <c:v>Ponce</c:v>
                </c:pt>
                <c:pt idx="3">
                  <c:v>Caguas</c:v>
                </c:pt>
                <c:pt idx="4">
                  <c:v>Humacao</c:v>
                </c:pt>
              </c:strCache>
            </c:strRef>
          </c:cat>
          <c:val>
            <c:numRef>
              <c:f>Sheet1!$B$2:$B$6</c:f>
              <c:numCache>
                <c:formatCode>#,##0</c:formatCode>
                <c:ptCount val="5"/>
                <c:pt idx="0">
                  <c:v>245710</c:v>
                </c:pt>
                <c:pt idx="1">
                  <c:v>64093</c:v>
                </c:pt>
                <c:pt idx="2">
                  <c:v>57900</c:v>
                </c:pt>
                <c:pt idx="3">
                  <c:v>43995</c:v>
                </c:pt>
                <c:pt idx="4">
                  <c:v>18336</c:v>
                </c:pt>
              </c:numCache>
            </c:numRef>
          </c:val>
          <c:extLst>
            <c:ext xmlns:c16="http://schemas.microsoft.com/office/drawing/2014/chart" uri="{C3380CC4-5D6E-409C-BE32-E72D297353CC}">
              <c16:uniqueId val="{0000000A-3DB8-4E64-A563-1ACF46DF4271}"/>
            </c:ext>
          </c:extLst>
        </c:ser>
        <c:dLbls>
          <c:showLegendKey val="0"/>
          <c:showVal val="0"/>
          <c:showCatName val="0"/>
          <c:showSerName val="0"/>
          <c:showPercent val="0"/>
          <c:showBubbleSize val="0"/>
        </c:dLbls>
        <c:gapWidth val="150"/>
        <c:shape val="box"/>
        <c:axId val="138180096"/>
        <c:axId val="138181632"/>
        <c:axId val="0"/>
      </c:bar3DChart>
      <c:catAx>
        <c:axId val="138180096"/>
        <c:scaling>
          <c:orientation val="minMax"/>
        </c:scaling>
        <c:delete val="0"/>
        <c:axPos val="l"/>
        <c:numFmt formatCode="General" sourceLinked="0"/>
        <c:majorTickMark val="out"/>
        <c:minorTickMark val="none"/>
        <c:tickLblPos val="nextTo"/>
        <c:crossAx val="138181632"/>
        <c:crosses val="autoZero"/>
        <c:auto val="1"/>
        <c:lblAlgn val="ctr"/>
        <c:lblOffset val="100"/>
        <c:noMultiLvlLbl val="0"/>
      </c:catAx>
      <c:valAx>
        <c:axId val="138181632"/>
        <c:scaling>
          <c:orientation val="minMax"/>
        </c:scaling>
        <c:delete val="0"/>
        <c:axPos val="b"/>
        <c:majorGridlines/>
        <c:numFmt formatCode="#,##0" sourceLinked="1"/>
        <c:majorTickMark val="out"/>
        <c:minorTickMark val="none"/>
        <c:tickLblPos val="nextTo"/>
        <c:crossAx val="138180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Llamadas Atendidas Enero 2013 - Agosto</a:t>
            </a:r>
            <a:r>
              <a:rPr lang="en-US" baseline="0"/>
              <a:t> </a:t>
            </a:r>
            <a:r>
              <a:rPr lang="en-US"/>
              <a:t>2016</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CA37-4D0F-8CCE-967590CC171E}"/>
              </c:ext>
            </c:extLst>
          </c:dPt>
          <c:dPt>
            <c:idx val="1"/>
            <c:invertIfNegative val="0"/>
            <c:bubble3D val="0"/>
            <c:spPr>
              <a:solidFill>
                <a:schemeClr val="accent4"/>
              </a:solidFill>
            </c:spPr>
            <c:extLst>
              <c:ext xmlns:c16="http://schemas.microsoft.com/office/drawing/2014/chart" uri="{C3380CC4-5D6E-409C-BE32-E72D297353CC}">
                <c16:uniqueId val="{00000003-CA37-4D0F-8CCE-967590CC171E}"/>
              </c:ext>
            </c:extLst>
          </c:dPt>
          <c:dPt>
            <c:idx val="2"/>
            <c:invertIfNegative val="0"/>
            <c:bubble3D val="0"/>
            <c:spPr>
              <a:solidFill>
                <a:srgbClr val="FFC000"/>
              </a:solidFill>
            </c:spPr>
            <c:extLst>
              <c:ext xmlns:c16="http://schemas.microsoft.com/office/drawing/2014/chart" uri="{C3380CC4-5D6E-409C-BE32-E72D297353CC}">
                <c16:uniqueId val="{00000005-CA37-4D0F-8CCE-967590CC171E}"/>
              </c:ext>
            </c:extLst>
          </c:dPt>
          <c:dPt>
            <c:idx val="3"/>
            <c:invertIfNegative val="0"/>
            <c:bubble3D val="0"/>
            <c:spPr>
              <a:solidFill>
                <a:schemeClr val="accent5">
                  <a:lumMod val="50000"/>
                </a:schemeClr>
              </a:solidFill>
            </c:spPr>
            <c:extLst>
              <c:ext xmlns:c16="http://schemas.microsoft.com/office/drawing/2014/chart" uri="{C3380CC4-5D6E-409C-BE32-E72D297353CC}">
                <c16:uniqueId val="{00000007-CA37-4D0F-8CCE-967590CC171E}"/>
              </c:ext>
            </c:extLst>
          </c:dPt>
          <c:dPt>
            <c:idx val="4"/>
            <c:invertIfNegative val="0"/>
            <c:bubble3D val="0"/>
            <c:spPr>
              <a:solidFill>
                <a:schemeClr val="accent2"/>
              </a:solidFill>
            </c:spPr>
            <c:extLst>
              <c:ext xmlns:c16="http://schemas.microsoft.com/office/drawing/2014/chart" uri="{C3380CC4-5D6E-409C-BE32-E72D297353CC}">
                <c16:uniqueId val="{00000009-CA37-4D0F-8CCE-967590CC171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 Juan</c:v>
                </c:pt>
                <c:pt idx="1">
                  <c:v>Mayaguez</c:v>
                </c:pt>
                <c:pt idx="2">
                  <c:v>Ponce</c:v>
                </c:pt>
                <c:pt idx="3">
                  <c:v>Caguas</c:v>
                </c:pt>
                <c:pt idx="4">
                  <c:v>Humacao</c:v>
                </c:pt>
              </c:strCache>
            </c:strRef>
          </c:cat>
          <c:val>
            <c:numRef>
              <c:f>Sheet1!$B$2:$B$6</c:f>
              <c:numCache>
                <c:formatCode>#,##0</c:formatCode>
                <c:ptCount val="5"/>
                <c:pt idx="0">
                  <c:v>1405885</c:v>
                </c:pt>
                <c:pt idx="1">
                  <c:v>8462</c:v>
                </c:pt>
                <c:pt idx="2">
                  <c:v>3393</c:v>
                </c:pt>
                <c:pt idx="3">
                  <c:v>11464</c:v>
                </c:pt>
                <c:pt idx="4">
                  <c:v>4954</c:v>
                </c:pt>
              </c:numCache>
            </c:numRef>
          </c:val>
          <c:extLst>
            <c:ext xmlns:c16="http://schemas.microsoft.com/office/drawing/2014/chart" uri="{C3380CC4-5D6E-409C-BE32-E72D297353CC}">
              <c16:uniqueId val="{0000000A-CA37-4D0F-8CCE-967590CC171E}"/>
            </c:ext>
          </c:extLst>
        </c:ser>
        <c:dLbls>
          <c:showLegendKey val="0"/>
          <c:showVal val="0"/>
          <c:showCatName val="0"/>
          <c:showSerName val="0"/>
          <c:showPercent val="0"/>
          <c:showBubbleSize val="0"/>
        </c:dLbls>
        <c:gapWidth val="150"/>
        <c:shape val="box"/>
        <c:axId val="138260864"/>
        <c:axId val="138262400"/>
        <c:axId val="0"/>
      </c:bar3DChart>
      <c:catAx>
        <c:axId val="138260864"/>
        <c:scaling>
          <c:orientation val="minMax"/>
        </c:scaling>
        <c:delete val="0"/>
        <c:axPos val="b"/>
        <c:numFmt formatCode="General" sourceLinked="0"/>
        <c:majorTickMark val="out"/>
        <c:minorTickMark val="none"/>
        <c:tickLblPos val="nextTo"/>
        <c:crossAx val="138262400"/>
        <c:crosses val="autoZero"/>
        <c:auto val="1"/>
        <c:lblAlgn val="ctr"/>
        <c:lblOffset val="100"/>
        <c:noMultiLvlLbl val="0"/>
      </c:catAx>
      <c:valAx>
        <c:axId val="138262400"/>
        <c:scaling>
          <c:orientation val="minMax"/>
        </c:scaling>
        <c:delete val="0"/>
        <c:axPos val="l"/>
        <c:majorGridlines/>
        <c:numFmt formatCode="#,##0" sourceLinked="1"/>
        <c:majorTickMark val="out"/>
        <c:minorTickMark val="none"/>
        <c:tickLblPos val="nextTo"/>
        <c:crossAx val="1382608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CF42547F20B4AAC484B8936058FF3" ma:contentTypeVersion="1" ma:contentTypeDescription="Create a new document." ma:contentTypeScope="" ma:versionID="88d936a9aac8df2e21389b7a9801e7c4">
  <xsd:schema xmlns:xsd="http://www.w3.org/2001/XMLSchema" xmlns:xs="http://www.w3.org/2001/XMLSchema" xmlns:p="http://schemas.microsoft.com/office/2006/metadata/properties" targetNamespace="http://schemas.microsoft.com/office/2006/metadata/properties" ma:root="true" ma:fieldsID="f4d9bc039c74a2ab1566018171b2a4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2013-2016</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19D35-BB58-44B2-852F-713739F62066}"/>
</file>

<file path=customXml/itemProps2.xml><?xml version="1.0" encoding="utf-8"?>
<ds:datastoreItem xmlns:ds="http://schemas.openxmlformats.org/officeDocument/2006/customXml" ds:itemID="{5F71937F-715E-4407-BF98-561B88A41DC4}"/>
</file>

<file path=customXml/itemProps3.xml><?xml version="1.0" encoding="utf-8"?>
<ds:datastoreItem xmlns:ds="http://schemas.openxmlformats.org/officeDocument/2006/customXml" ds:itemID="{F4FD5CC8-10BE-4439-B8D0-751E6F76FD69}"/>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72B7D00-51EB-4461-8582-2F7357999948}"/>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INFORME DE TRANSICION</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TRANSICION</dc:title>
  <dc:subject>Centro de Orientación</dc:subject>
  <dc:creator>ymonse01</dc:creator>
  <cp:lastModifiedBy>Natalia M. Palmer Cancel</cp:lastModifiedBy>
  <cp:revision>4</cp:revision>
  <cp:lastPrinted>2016-10-11T12:21:00Z</cp:lastPrinted>
  <dcterms:created xsi:type="dcterms:W3CDTF">2016-10-31T23:39:00Z</dcterms:created>
  <dcterms:modified xsi:type="dcterms:W3CDTF">2016-10-31T23:40:00Z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0x01010045DCF42547F20B4AAC484B8936058FF3</vt:lpwstr>
  </property>
</Properties>
</file>